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19524" w14:textId="77777777" w:rsidR="00161DE2" w:rsidRDefault="00161DE2" w:rsidP="00161DE2">
      <w:pPr>
        <w:rPr>
          <w:b/>
          <w:bCs/>
          <w:sz w:val="28"/>
          <w:szCs w:val="28"/>
        </w:rPr>
      </w:pPr>
      <w:r w:rsidRPr="009519C2">
        <w:rPr>
          <w:b/>
          <w:bCs/>
          <w:sz w:val="28"/>
          <w:szCs w:val="28"/>
        </w:rPr>
        <w:t>Analyse beleggingsfondsen</w:t>
      </w:r>
      <w:r>
        <w:rPr>
          <w:b/>
          <w:bCs/>
          <w:sz w:val="28"/>
          <w:szCs w:val="28"/>
        </w:rPr>
        <w:t xml:space="preserve"> Brent Dussel</w:t>
      </w:r>
    </w:p>
    <w:p w14:paraId="36235787" w14:textId="77777777" w:rsidR="00161DE2" w:rsidRDefault="00161DE2" w:rsidP="00161DE2">
      <w:pPr>
        <w:rPr>
          <w:b/>
          <w:bCs/>
          <w:sz w:val="28"/>
          <w:szCs w:val="28"/>
        </w:rPr>
      </w:pPr>
      <w:r>
        <w:rPr>
          <w:b/>
          <w:bCs/>
          <w:sz w:val="28"/>
          <w:szCs w:val="28"/>
        </w:rPr>
        <w:t>Te analyseren fondsen:</w:t>
      </w:r>
    </w:p>
    <w:p w14:paraId="04E19A88" w14:textId="77777777" w:rsidR="00161DE2" w:rsidRPr="004F0486" w:rsidRDefault="00161DE2" w:rsidP="00161DE2">
      <w:pPr>
        <w:pStyle w:val="Lijstalinea"/>
        <w:numPr>
          <w:ilvl w:val="0"/>
          <w:numId w:val="1"/>
        </w:numPr>
      </w:pPr>
      <w:proofErr w:type="spellStart"/>
      <w:r w:rsidRPr="004F0486">
        <w:t>Fidelity</w:t>
      </w:r>
      <w:proofErr w:type="spellEnd"/>
    </w:p>
    <w:p w14:paraId="5DF207A1" w14:textId="77777777" w:rsidR="00161DE2" w:rsidRPr="004F0486" w:rsidRDefault="00161DE2" w:rsidP="00161DE2">
      <w:pPr>
        <w:pStyle w:val="Lijstalinea"/>
        <w:numPr>
          <w:ilvl w:val="0"/>
          <w:numId w:val="1"/>
        </w:numPr>
      </w:pPr>
      <w:r w:rsidRPr="004F0486">
        <w:t>Allianz Group</w:t>
      </w:r>
    </w:p>
    <w:p w14:paraId="291B9C7B" w14:textId="77777777" w:rsidR="00161DE2" w:rsidRPr="004F0486" w:rsidRDefault="00161DE2" w:rsidP="00161DE2">
      <w:pPr>
        <w:pStyle w:val="Lijstalinea"/>
        <w:numPr>
          <w:ilvl w:val="0"/>
          <w:numId w:val="1"/>
        </w:numPr>
      </w:pPr>
      <w:proofErr w:type="spellStart"/>
      <w:r w:rsidRPr="004F0486">
        <w:t>Vanguard</w:t>
      </w:r>
      <w:proofErr w:type="spellEnd"/>
      <w:r w:rsidRPr="004F0486">
        <w:t xml:space="preserve"> Group</w:t>
      </w:r>
    </w:p>
    <w:p w14:paraId="234EF13A" w14:textId="77777777" w:rsidR="00161DE2" w:rsidRDefault="00161DE2" w:rsidP="00161DE2">
      <w:pPr>
        <w:pStyle w:val="Lijstalinea"/>
        <w:numPr>
          <w:ilvl w:val="0"/>
          <w:numId w:val="1"/>
        </w:numPr>
      </w:pPr>
      <w:r w:rsidRPr="004F0486">
        <w:t>Blackrock</w:t>
      </w:r>
    </w:p>
    <w:p w14:paraId="2689100B" w14:textId="77777777" w:rsidR="00161DE2" w:rsidRDefault="00161DE2" w:rsidP="00161DE2">
      <w:pPr>
        <w:rPr>
          <w:b/>
          <w:bCs/>
          <w:sz w:val="28"/>
          <w:szCs w:val="28"/>
        </w:rPr>
      </w:pPr>
      <w:proofErr w:type="spellStart"/>
      <w:r w:rsidRPr="00DC710B">
        <w:rPr>
          <w:b/>
          <w:bCs/>
          <w:sz w:val="28"/>
          <w:szCs w:val="28"/>
        </w:rPr>
        <w:t>Fidelity</w:t>
      </w:r>
      <w:proofErr w:type="spellEnd"/>
    </w:p>
    <w:p w14:paraId="733944E5" w14:textId="77777777" w:rsidR="00161DE2" w:rsidRPr="000D0E32" w:rsidRDefault="00161DE2" w:rsidP="00161DE2">
      <w:pPr>
        <w:rPr>
          <w:b/>
          <w:bCs/>
        </w:rPr>
      </w:pPr>
      <w:r w:rsidRPr="000D0E32">
        <w:rPr>
          <w:b/>
          <w:bCs/>
        </w:rPr>
        <w:t xml:space="preserve">Duurzaamheidsbeleid </w:t>
      </w:r>
    </w:p>
    <w:p w14:paraId="7714E94B" w14:textId="77777777" w:rsidR="00161DE2" w:rsidRPr="000D0E32" w:rsidRDefault="00161DE2" w:rsidP="00161DE2">
      <w:proofErr w:type="spellStart"/>
      <w:r w:rsidRPr="000D0E32">
        <w:t>Fidelity</w:t>
      </w:r>
      <w:proofErr w:type="spellEnd"/>
      <w:r w:rsidRPr="000D0E32">
        <w:t xml:space="preserve"> </w:t>
      </w:r>
      <w:proofErr w:type="spellStart"/>
      <w:r w:rsidRPr="000D0E32">
        <w:t>Investments</w:t>
      </w:r>
      <w:proofErr w:type="spellEnd"/>
      <w:r w:rsidRPr="000D0E32">
        <w:t xml:space="preserve"> heeft de afgelopen jaren een </w:t>
      </w:r>
      <w:r>
        <w:t>goede</w:t>
      </w:r>
      <w:r w:rsidRPr="000D0E32">
        <w:t xml:space="preserve"> strategie ontwikkeld rondom duurzaam en verantwoord beleggen. In het officiële ESG Statement of Policy geeft de vermogensbeheerder aan dat milieu-, sociale- en </w:t>
      </w:r>
      <w:proofErr w:type="spellStart"/>
      <w:r w:rsidRPr="000D0E32">
        <w:t>governancefactoren</w:t>
      </w:r>
      <w:proofErr w:type="spellEnd"/>
      <w:r w:rsidRPr="000D0E32">
        <w:t xml:space="preserve"> worden meegenomen wanneer ze “financieel materieel” zijn voor het rendement of risico van een belegging. Dat betekent dat duurzaamheid bij </w:t>
      </w:r>
      <w:proofErr w:type="spellStart"/>
      <w:r w:rsidRPr="000D0E32">
        <w:t>Fidelity</w:t>
      </w:r>
      <w:proofErr w:type="spellEnd"/>
      <w:r w:rsidRPr="000D0E32">
        <w:t xml:space="preserve"> </w:t>
      </w:r>
      <w:r>
        <w:t>niet echt een</w:t>
      </w:r>
      <w:r w:rsidRPr="000D0E32">
        <w:t xml:space="preserve"> doel is, maar vooral een middel om prestaties op lange termijn te verbeteren. Het bedrijf gebruikt een eigen ESG-ratingsysteem, waarmee ondernemingen worden beoordeeld op duurzaamheidsrisico’s en kansen.</w:t>
      </w:r>
    </w:p>
    <w:p w14:paraId="7846D5DB" w14:textId="77777777" w:rsidR="00161DE2" w:rsidRPr="000D0E32" w:rsidRDefault="00161DE2" w:rsidP="00161DE2">
      <w:r w:rsidRPr="000D0E32">
        <w:t xml:space="preserve">Daarnaast hecht </w:t>
      </w:r>
      <w:proofErr w:type="spellStart"/>
      <w:r w:rsidRPr="000D0E32">
        <w:t>Fidelity</w:t>
      </w:r>
      <w:proofErr w:type="spellEnd"/>
      <w:r w:rsidRPr="000D0E32">
        <w:t xml:space="preserve"> veel waarde aan actief aandeelhouderschap. Uit de meest recente </w:t>
      </w:r>
      <w:proofErr w:type="spellStart"/>
      <w:r w:rsidRPr="000D0E32">
        <w:t>Sustainable</w:t>
      </w:r>
      <w:proofErr w:type="spellEnd"/>
      <w:r w:rsidRPr="000D0E32">
        <w:t xml:space="preserve"> </w:t>
      </w:r>
      <w:proofErr w:type="spellStart"/>
      <w:r w:rsidRPr="000D0E32">
        <w:t>Investing</w:t>
      </w:r>
      <w:proofErr w:type="spellEnd"/>
      <w:r w:rsidRPr="000D0E32">
        <w:t xml:space="preserve"> &amp; </w:t>
      </w:r>
      <w:proofErr w:type="spellStart"/>
      <w:r w:rsidRPr="000D0E32">
        <w:t>Stewardship</w:t>
      </w:r>
      <w:proofErr w:type="spellEnd"/>
      <w:r w:rsidRPr="000D0E32">
        <w:t xml:space="preserve"> Update blijkt dat er tussen juli 2023 en juni 2024 duizenden gesprekken zijn gevoerd met ondernemingen over ESG-thema’s en dat </w:t>
      </w:r>
      <w:proofErr w:type="spellStart"/>
      <w:r w:rsidRPr="000D0E32">
        <w:t>Fidelity</w:t>
      </w:r>
      <w:proofErr w:type="spellEnd"/>
      <w:r w:rsidRPr="000D0E32">
        <w:t xml:space="preserve"> regelmatig stemt op aandeelhoudersvergaderingen om invloed uit te oefenen op duurzaamheidskwesties (</w:t>
      </w:r>
      <w:proofErr w:type="spellStart"/>
      <w:r w:rsidRPr="000D0E32">
        <w:t>Fidelity</w:t>
      </w:r>
      <w:proofErr w:type="spellEnd"/>
      <w:r w:rsidRPr="000D0E32">
        <w:t xml:space="preserve"> </w:t>
      </w:r>
      <w:proofErr w:type="spellStart"/>
      <w:r w:rsidRPr="000D0E32">
        <w:t>Investments</w:t>
      </w:r>
      <w:proofErr w:type="spellEnd"/>
      <w:r w:rsidRPr="000D0E32">
        <w:t xml:space="preserve">, 2025). Het bedrijf biedt ook specifieke duurzame fondsen aan, zoals de </w:t>
      </w:r>
      <w:proofErr w:type="spellStart"/>
      <w:r w:rsidRPr="000D0E32">
        <w:t>Fidelity</w:t>
      </w:r>
      <w:proofErr w:type="spellEnd"/>
      <w:r w:rsidRPr="000D0E32">
        <w:t xml:space="preserve"> </w:t>
      </w:r>
      <w:proofErr w:type="spellStart"/>
      <w:r w:rsidRPr="000D0E32">
        <w:t>Sustainable</w:t>
      </w:r>
      <w:proofErr w:type="spellEnd"/>
      <w:r w:rsidRPr="000D0E32">
        <w:t xml:space="preserve"> U.S. </w:t>
      </w:r>
      <w:proofErr w:type="spellStart"/>
      <w:r w:rsidRPr="000D0E32">
        <w:t>Equity</w:t>
      </w:r>
      <w:proofErr w:type="spellEnd"/>
      <w:r w:rsidRPr="000D0E32">
        <w:t xml:space="preserve"> Fund en de </w:t>
      </w:r>
      <w:proofErr w:type="spellStart"/>
      <w:r w:rsidRPr="000D0E32">
        <w:t>Fidelity</w:t>
      </w:r>
      <w:proofErr w:type="spellEnd"/>
      <w:r w:rsidRPr="000D0E32">
        <w:t xml:space="preserve"> Clean Energy ETF, waarmee beleggers kunnen kiezen voor een duurzaam beleggingsprofiel.</w:t>
      </w:r>
    </w:p>
    <w:p w14:paraId="50873D40" w14:textId="77777777" w:rsidR="00161DE2" w:rsidRDefault="00161DE2" w:rsidP="00161DE2">
      <w:r w:rsidRPr="000D0E32">
        <w:t xml:space="preserve">Toch blijft de ESG-aanpak van </w:t>
      </w:r>
      <w:proofErr w:type="spellStart"/>
      <w:r w:rsidRPr="000D0E32">
        <w:t>Fidelity</w:t>
      </w:r>
      <w:proofErr w:type="spellEnd"/>
      <w:r w:rsidRPr="000D0E32">
        <w:t xml:space="preserve"> vrij</w:t>
      </w:r>
      <w:r>
        <w:t xml:space="preserve"> gericht op het financiële deel</w:t>
      </w:r>
      <w:r w:rsidRPr="000D0E32">
        <w:t xml:space="preserve">. Uit een rapport van The </w:t>
      </w:r>
      <w:proofErr w:type="spellStart"/>
      <w:r w:rsidRPr="000D0E32">
        <w:t>Guardian</w:t>
      </w:r>
      <w:proofErr w:type="spellEnd"/>
      <w:r w:rsidRPr="000D0E32">
        <w:t xml:space="preserve"> (2025) blijkt bijvoorbeeld dat </w:t>
      </w:r>
      <w:proofErr w:type="spellStart"/>
      <w:r w:rsidRPr="000D0E32">
        <w:t>Fidelity</w:t>
      </w:r>
      <w:proofErr w:type="spellEnd"/>
      <w:r w:rsidRPr="000D0E32">
        <w:t xml:space="preserve"> slechts een klein deel van de duurzaamheidsvoorstellen van aandeelhouders heeft gesteund</w:t>
      </w:r>
      <w:r>
        <w:t xml:space="preserve">, </w:t>
      </w:r>
      <w:r w:rsidRPr="000D0E32">
        <w:t xml:space="preserve">minder dan tien procent in 2024. Dit </w:t>
      </w:r>
      <w:r>
        <w:t>laat zien</w:t>
      </w:r>
      <w:r w:rsidRPr="000D0E32">
        <w:t xml:space="preserve"> dat </w:t>
      </w:r>
      <w:proofErr w:type="spellStart"/>
      <w:r w:rsidRPr="000D0E32">
        <w:t>Fidelity</w:t>
      </w:r>
      <w:proofErr w:type="spellEnd"/>
      <w:r w:rsidRPr="000D0E32">
        <w:t xml:space="preserve"> duurzaamheid wel erkent, maar er niet altijd actief op stuurt wanneer dit niet samenhangt met financieel rendement. Daardoor blijft de vraag in </w:t>
      </w:r>
      <w:r>
        <w:t>of</w:t>
      </w:r>
      <w:r w:rsidRPr="000D0E32">
        <w:t xml:space="preserve"> het beleid </w:t>
      </w:r>
      <w:r>
        <w:t>echt</w:t>
      </w:r>
      <w:r w:rsidRPr="000D0E32">
        <w:t xml:space="preserve"> invloed heeft op het volledige beleggingsuniversum van </w:t>
      </w:r>
      <w:proofErr w:type="spellStart"/>
      <w:r w:rsidRPr="000D0E32">
        <w:t>Fidelity</w:t>
      </w:r>
      <w:proofErr w:type="spellEnd"/>
      <w:r w:rsidRPr="000D0E32">
        <w:t>.</w:t>
      </w:r>
    </w:p>
    <w:p w14:paraId="6F45A27A" w14:textId="77777777" w:rsidR="00161DE2" w:rsidRDefault="00161DE2" w:rsidP="00161DE2"/>
    <w:p w14:paraId="5D77278B" w14:textId="77777777" w:rsidR="00161DE2" w:rsidRDefault="00161DE2" w:rsidP="00161DE2"/>
    <w:p w14:paraId="3F34D7D6" w14:textId="77777777" w:rsidR="00161DE2" w:rsidRDefault="00161DE2" w:rsidP="00161DE2"/>
    <w:p w14:paraId="69490C80" w14:textId="77777777" w:rsidR="00161DE2" w:rsidRPr="000D0E32" w:rsidRDefault="00161DE2" w:rsidP="00161DE2"/>
    <w:p w14:paraId="32716996" w14:textId="77777777" w:rsidR="00161DE2" w:rsidRPr="000D0E32" w:rsidRDefault="00161DE2" w:rsidP="00161DE2">
      <w:pPr>
        <w:rPr>
          <w:b/>
          <w:bCs/>
        </w:rPr>
      </w:pPr>
      <w:proofErr w:type="spellStart"/>
      <w:r w:rsidRPr="000D0E32">
        <w:rPr>
          <w:b/>
          <w:bCs/>
        </w:rPr>
        <w:lastRenderedPageBreak/>
        <w:t>Governance</w:t>
      </w:r>
      <w:proofErr w:type="spellEnd"/>
    </w:p>
    <w:p w14:paraId="43EC6639" w14:textId="77777777" w:rsidR="00161DE2" w:rsidRPr="000D0E32" w:rsidRDefault="00161DE2" w:rsidP="00161DE2">
      <w:r>
        <w:t>Op het gebied van</w:t>
      </w:r>
      <w:r w:rsidRPr="000D0E32">
        <w:t xml:space="preserve"> </w:t>
      </w:r>
      <w:proofErr w:type="spellStart"/>
      <w:r w:rsidRPr="000D0E32">
        <w:t>governance</w:t>
      </w:r>
      <w:proofErr w:type="spellEnd"/>
      <w:r w:rsidRPr="000D0E32">
        <w:t xml:space="preserve"> heeft </w:t>
      </w:r>
      <w:proofErr w:type="spellStart"/>
      <w:r w:rsidRPr="000D0E32">
        <w:t>Fidelity</w:t>
      </w:r>
      <w:proofErr w:type="spellEnd"/>
      <w:r w:rsidRPr="000D0E32">
        <w:t xml:space="preserve"> </w:t>
      </w:r>
      <w:proofErr w:type="spellStart"/>
      <w:r w:rsidRPr="000D0E32">
        <w:t>Investments</w:t>
      </w:r>
      <w:proofErr w:type="spellEnd"/>
      <w:r w:rsidRPr="000D0E32">
        <w:t xml:space="preserve"> een </w:t>
      </w:r>
      <w:r>
        <w:t>stevige</w:t>
      </w:r>
      <w:r w:rsidRPr="000D0E32">
        <w:t xml:space="preserve"> maar gesloten structuur. Het bedrijf is volledig in privébezit en wordt geleid door </w:t>
      </w:r>
      <w:proofErr w:type="spellStart"/>
      <w:r w:rsidRPr="000D0E32">
        <w:t>Abigail</w:t>
      </w:r>
      <w:proofErr w:type="spellEnd"/>
      <w:r w:rsidRPr="000D0E32">
        <w:t xml:space="preserve"> Johnson, die </w:t>
      </w:r>
      <w:r>
        <w:t>ook</w:t>
      </w:r>
      <w:r w:rsidRPr="000D0E32">
        <w:t xml:space="preserve"> voorzitter van de raad van bestuur is. Deze familiecontrole zorgt voor continuïteit en een langetermijnvisie, maar beperkt </w:t>
      </w:r>
      <w:r>
        <w:t>ook</w:t>
      </w:r>
      <w:r w:rsidRPr="000D0E32">
        <w:t xml:space="preserve"> de externe controle en transparantie. Omdat </w:t>
      </w:r>
      <w:proofErr w:type="spellStart"/>
      <w:r w:rsidRPr="000D0E32">
        <w:t>Fidelity</w:t>
      </w:r>
      <w:proofErr w:type="spellEnd"/>
      <w:r w:rsidRPr="000D0E32">
        <w:t xml:space="preserve"> niet beursgenoteerd is, hoeft het bijvoorbeeld geen uitgebreide publieke rapportages te publiceren over interne besluitvorming of beloningsbeleid, wat bij concurrenten als </w:t>
      </w:r>
      <w:proofErr w:type="spellStart"/>
      <w:r w:rsidRPr="000D0E32">
        <w:t>BlackRock</w:t>
      </w:r>
      <w:proofErr w:type="spellEnd"/>
      <w:r w:rsidRPr="000D0E32">
        <w:t xml:space="preserve"> wel verplicht is.</w:t>
      </w:r>
    </w:p>
    <w:p w14:paraId="5F1A8487" w14:textId="77777777" w:rsidR="00161DE2" w:rsidRPr="000D0E32" w:rsidRDefault="00161DE2" w:rsidP="00161DE2">
      <w:proofErr w:type="spellStart"/>
      <w:r w:rsidRPr="000D0E32">
        <w:t>Fidelity</w:t>
      </w:r>
      <w:proofErr w:type="spellEnd"/>
      <w:r w:rsidRPr="000D0E32">
        <w:t xml:space="preserve"> hanteert wel duidelijke richtlijnen voor corporate </w:t>
      </w:r>
      <w:proofErr w:type="spellStart"/>
      <w:r w:rsidRPr="000D0E32">
        <w:t>governance</w:t>
      </w:r>
      <w:proofErr w:type="spellEnd"/>
      <w:r w:rsidRPr="000D0E32">
        <w:t xml:space="preserve"> en stembeleid. In de </w:t>
      </w:r>
      <w:r>
        <w:t>regels rondom het stemmen</w:t>
      </w:r>
      <w:r w:rsidRPr="000D0E32">
        <w:t xml:space="preserve"> is vastgelegd hoe er wordt gestemd over onderwerpen als bestuurssamenstelling, beloningsstructuren en duurzaamheid. Daarnaast beschikt het bedrijf over teams die zich bezighouden met “</w:t>
      </w:r>
      <w:proofErr w:type="spellStart"/>
      <w:r w:rsidRPr="000D0E32">
        <w:t>Governance</w:t>
      </w:r>
      <w:proofErr w:type="spellEnd"/>
      <w:r w:rsidRPr="000D0E32">
        <w:t xml:space="preserve"> </w:t>
      </w:r>
      <w:proofErr w:type="spellStart"/>
      <w:r w:rsidRPr="000D0E32">
        <w:t>and</w:t>
      </w:r>
      <w:proofErr w:type="spellEnd"/>
      <w:r w:rsidRPr="000D0E32">
        <w:t xml:space="preserve"> </w:t>
      </w:r>
      <w:proofErr w:type="spellStart"/>
      <w:r w:rsidRPr="000D0E32">
        <w:t>Forensic</w:t>
      </w:r>
      <w:proofErr w:type="spellEnd"/>
      <w:r w:rsidRPr="000D0E32">
        <w:t xml:space="preserve"> Accounting”</w:t>
      </w:r>
      <w:r>
        <w:t xml:space="preserve">, </w:t>
      </w:r>
      <w:r w:rsidRPr="000D0E32">
        <w:t xml:space="preserve">zij analyseren de bedrijfsvoering van ondernemingen waarin </w:t>
      </w:r>
      <w:proofErr w:type="spellStart"/>
      <w:r w:rsidRPr="000D0E32">
        <w:t>Fidelity</w:t>
      </w:r>
      <w:proofErr w:type="spellEnd"/>
      <w:r w:rsidRPr="000D0E32">
        <w:t xml:space="preserve"> belegt om mogelijke risico’s of misstanden vroegtijdig te signaleren (</w:t>
      </w:r>
      <w:proofErr w:type="spellStart"/>
      <w:r w:rsidRPr="000D0E32">
        <w:t>Fidelity</w:t>
      </w:r>
      <w:proofErr w:type="spellEnd"/>
      <w:r w:rsidRPr="000D0E32">
        <w:t xml:space="preserve"> </w:t>
      </w:r>
      <w:proofErr w:type="spellStart"/>
      <w:r w:rsidRPr="000D0E32">
        <w:t>Investments</w:t>
      </w:r>
      <w:proofErr w:type="spellEnd"/>
      <w:r w:rsidRPr="000D0E32">
        <w:t>, 2025).</w:t>
      </w:r>
    </w:p>
    <w:p w14:paraId="175B177F" w14:textId="77777777" w:rsidR="00161DE2" w:rsidRPr="000D0E32" w:rsidRDefault="00161DE2" w:rsidP="00161DE2">
      <w:r w:rsidRPr="000D0E32">
        <w:t xml:space="preserve">In de praktijk betekent dit dat </w:t>
      </w:r>
      <w:proofErr w:type="spellStart"/>
      <w:r w:rsidRPr="000D0E32">
        <w:t>governance</w:t>
      </w:r>
      <w:proofErr w:type="spellEnd"/>
      <w:r w:rsidRPr="000D0E32">
        <w:t xml:space="preserve"> bij </w:t>
      </w:r>
      <w:proofErr w:type="spellStart"/>
      <w:r w:rsidRPr="000D0E32">
        <w:t>Fidelity</w:t>
      </w:r>
      <w:proofErr w:type="spellEnd"/>
      <w:r w:rsidRPr="000D0E32">
        <w:t xml:space="preserve"> goed is georganiseerd op beleidsniveau, maar dat er minder publieke controle is op de naleving ervan. De macht binnen de familie Johnson blijft een aandachtspunt, vooral omdat dit de onafhankelijkheid van </w:t>
      </w:r>
      <w:r>
        <w:t>besluiten</w:t>
      </w:r>
      <w:r w:rsidRPr="000D0E32">
        <w:t xml:space="preserve"> kan beïnvloeden. Toch laat het beleid zien dat </w:t>
      </w:r>
      <w:proofErr w:type="spellStart"/>
      <w:r w:rsidRPr="000D0E32">
        <w:t>Fidelity</w:t>
      </w:r>
      <w:proofErr w:type="spellEnd"/>
      <w:r w:rsidRPr="000D0E32">
        <w:t xml:space="preserve"> probeert om professioneel en verantwoord te handelen richting beleggers en ondernemingen waarin het actief is.</w:t>
      </w:r>
    </w:p>
    <w:p w14:paraId="1CA11E8F" w14:textId="77777777" w:rsidR="00161DE2" w:rsidRPr="000D0E32" w:rsidRDefault="00161DE2" w:rsidP="00161DE2">
      <w:pPr>
        <w:rPr>
          <w:b/>
          <w:bCs/>
        </w:rPr>
      </w:pPr>
      <w:r w:rsidRPr="000D0E32">
        <w:rPr>
          <w:b/>
          <w:bCs/>
        </w:rPr>
        <w:t xml:space="preserve">Bad Press </w:t>
      </w:r>
    </w:p>
    <w:p w14:paraId="6C1E08FF" w14:textId="77777777" w:rsidR="00161DE2" w:rsidRPr="000D0E32" w:rsidRDefault="00161DE2" w:rsidP="00161DE2">
      <w:r w:rsidRPr="000D0E32">
        <w:t xml:space="preserve">Ondanks het professionele imago is </w:t>
      </w:r>
      <w:proofErr w:type="spellStart"/>
      <w:r w:rsidRPr="000D0E32">
        <w:t>Fidelity</w:t>
      </w:r>
      <w:proofErr w:type="spellEnd"/>
      <w:r w:rsidRPr="000D0E32">
        <w:t xml:space="preserve"> </w:t>
      </w:r>
      <w:proofErr w:type="spellStart"/>
      <w:r w:rsidRPr="000D0E32">
        <w:t>Investments</w:t>
      </w:r>
      <w:proofErr w:type="spellEnd"/>
      <w:r w:rsidRPr="000D0E32">
        <w:t xml:space="preserve"> de laatste jaren meerdere keren negatief in het nieuws gekomen. In januari 2025 kreeg het bedrijf een boete van 600.000 dollar van de Amerikaanse toezichthouder FINRA vanwege </w:t>
      </w:r>
      <w:r>
        <w:t>onvoldoende</w:t>
      </w:r>
      <w:r w:rsidRPr="000D0E32">
        <w:t xml:space="preserve"> intern toezicht. Een voormalige medewerker had tussen 2012 en 2020 meer dan 750.000 dollar van klanten gestolen, iets dat door interne controles niet tijdig was opgemerkt (American </w:t>
      </w:r>
      <w:proofErr w:type="spellStart"/>
      <w:r w:rsidRPr="000D0E32">
        <w:t>Bankers</w:t>
      </w:r>
      <w:proofErr w:type="spellEnd"/>
      <w:r w:rsidRPr="000D0E32">
        <w:t xml:space="preserve"> Association, 2025). Dergelijke incidenten wijzen op tekortkomingen in het toezicht en </w:t>
      </w:r>
      <w:proofErr w:type="spellStart"/>
      <w:r w:rsidRPr="000D0E32">
        <w:t>compliancebeleid</w:t>
      </w:r>
      <w:proofErr w:type="spellEnd"/>
      <w:r w:rsidRPr="000D0E32">
        <w:t>, wat voor een vermogensbeheerder van deze omvang</w:t>
      </w:r>
      <w:r>
        <w:t xml:space="preserve"> best wel</w:t>
      </w:r>
      <w:r w:rsidRPr="000D0E32">
        <w:t xml:space="preserve"> zorgwekkend is.</w:t>
      </w:r>
    </w:p>
    <w:p w14:paraId="574C0F8D" w14:textId="77777777" w:rsidR="00161DE2" w:rsidRPr="000D0E32" w:rsidRDefault="00161DE2" w:rsidP="00161DE2">
      <w:r w:rsidRPr="000D0E32">
        <w:t xml:space="preserve">Daarnaast kampte </w:t>
      </w:r>
      <w:proofErr w:type="spellStart"/>
      <w:r w:rsidRPr="000D0E32">
        <w:t>Fidelity</w:t>
      </w:r>
      <w:proofErr w:type="spellEnd"/>
      <w:r w:rsidRPr="000D0E32">
        <w:t xml:space="preserve"> in oktober 2024 met een </w:t>
      </w:r>
      <w:proofErr w:type="spellStart"/>
      <w:r w:rsidRPr="000D0E32">
        <w:t>datalek</w:t>
      </w:r>
      <w:proofErr w:type="spellEnd"/>
      <w:r w:rsidRPr="000D0E32">
        <w:t xml:space="preserve"> waarbij ruim 77.000 klanten werden getroffen (PYMNTS, 2024). Hoewel het bedrijf snel reageerde en aanvullende beveiligingsmaatregelen aankondigde</w:t>
      </w:r>
      <w:r>
        <w:t xml:space="preserve"> </w:t>
      </w:r>
      <w:r w:rsidRPr="000D0E32">
        <w:t xml:space="preserve">laat dit zien dat cyberrisico’s een </w:t>
      </w:r>
      <w:r>
        <w:t>groot</w:t>
      </w:r>
      <w:r w:rsidRPr="000D0E32">
        <w:t xml:space="preserve"> gevaar vormen, ook bij grote financiële instellingen. Verder kreeg </w:t>
      </w:r>
      <w:proofErr w:type="spellStart"/>
      <w:r w:rsidRPr="000D0E32">
        <w:t>Fidelity</w:t>
      </w:r>
      <w:proofErr w:type="spellEnd"/>
      <w:r w:rsidRPr="000D0E32">
        <w:t xml:space="preserve"> kritiek vanuit de media vanwege haar indirecte betrokkenheid bij donaties aan organisaties die klimaatonvriendelijke of politiek controversiële doelen steunen. Volgens </w:t>
      </w:r>
      <w:proofErr w:type="spellStart"/>
      <w:r w:rsidRPr="000D0E32">
        <w:t>Desmog</w:t>
      </w:r>
      <w:proofErr w:type="spellEnd"/>
      <w:r w:rsidRPr="000D0E32">
        <w:t xml:space="preserve"> (2024) zou </w:t>
      </w:r>
      <w:proofErr w:type="spellStart"/>
      <w:r w:rsidRPr="000D0E32">
        <w:t>Fidelity</w:t>
      </w:r>
      <w:proofErr w:type="spellEnd"/>
      <w:r w:rsidRPr="000D0E32">
        <w:t xml:space="preserve"> </w:t>
      </w:r>
      <w:proofErr w:type="spellStart"/>
      <w:r w:rsidRPr="000D0E32">
        <w:t>Charitable</w:t>
      </w:r>
      <w:proofErr w:type="spellEnd"/>
      <w:r>
        <w:t xml:space="preserve">, </w:t>
      </w:r>
      <w:r w:rsidRPr="000D0E32">
        <w:t xml:space="preserve">een fonds gelinkt aan </w:t>
      </w:r>
      <w:proofErr w:type="spellStart"/>
      <w:r w:rsidRPr="000D0E32">
        <w:t>Fidelity</w:t>
      </w:r>
      <w:proofErr w:type="spellEnd"/>
      <w:r>
        <w:t xml:space="preserve">, </w:t>
      </w:r>
      <w:r w:rsidRPr="000D0E32">
        <w:t>geld hebben doorgesluisd naar organisaties die desinformatie over klimaatverandering verspreiden.</w:t>
      </w:r>
    </w:p>
    <w:p w14:paraId="1BFD8A3D" w14:textId="77777777" w:rsidR="00161DE2" w:rsidRPr="000D0E32" w:rsidRDefault="00161DE2" w:rsidP="00161DE2">
      <w:r w:rsidRPr="000D0E32">
        <w:lastRenderedPageBreak/>
        <w:t xml:space="preserve">Deze gebeurtenissen hebben het imago van </w:t>
      </w:r>
      <w:proofErr w:type="spellStart"/>
      <w:r w:rsidRPr="000D0E32">
        <w:t>Fidelity</w:t>
      </w:r>
      <w:proofErr w:type="spellEnd"/>
      <w:r w:rsidRPr="000D0E32">
        <w:t xml:space="preserve"> enigszins aangetast. Hoewel ze afzonderlijk geen directe bedreiging vormen voor klanten, tonen ze wel aan dat interne processen op het gebied van toezicht, compliance en maatschappelijke verantwoordelijkheid verbeterd kunnen worden.</w:t>
      </w:r>
    </w:p>
    <w:p w14:paraId="68ACFCDB" w14:textId="77777777" w:rsidR="00161DE2" w:rsidRPr="000D0E32" w:rsidRDefault="00161DE2" w:rsidP="00161DE2">
      <w:pPr>
        <w:rPr>
          <w:b/>
          <w:bCs/>
        </w:rPr>
      </w:pPr>
      <w:r w:rsidRPr="000D0E32">
        <w:rPr>
          <w:b/>
          <w:bCs/>
        </w:rPr>
        <w:t>Conclusie</w:t>
      </w:r>
    </w:p>
    <w:p w14:paraId="4F6D4E53" w14:textId="77777777" w:rsidR="00161DE2" w:rsidRPr="000D0E32" w:rsidRDefault="00161DE2" w:rsidP="00161DE2">
      <w:r w:rsidRPr="000D0E32">
        <w:t xml:space="preserve">De analyse van </w:t>
      </w:r>
      <w:proofErr w:type="spellStart"/>
      <w:r w:rsidRPr="000D0E32">
        <w:t>Fidelity</w:t>
      </w:r>
      <w:proofErr w:type="spellEnd"/>
      <w:r w:rsidRPr="000D0E32">
        <w:t xml:space="preserve"> </w:t>
      </w:r>
      <w:proofErr w:type="spellStart"/>
      <w:r w:rsidRPr="000D0E32">
        <w:t>Investments</w:t>
      </w:r>
      <w:proofErr w:type="spellEnd"/>
      <w:r w:rsidRPr="000D0E32">
        <w:t xml:space="preserve"> laat zien dat het bedrijf duurzaamheid, </w:t>
      </w:r>
      <w:proofErr w:type="spellStart"/>
      <w:r w:rsidRPr="000D0E32">
        <w:t>governance</w:t>
      </w:r>
      <w:proofErr w:type="spellEnd"/>
      <w:r w:rsidRPr="000D0E32">
        <w:t xml:space="preserve"> en integriteit belangrijk vindt, maar dat deze thema’s vooral benaderd worden vanuit een zakelijk en financieel perspectief. Het ESG-beleid is uitgebreid uitgewerkt en er is sprake van actief aandeelhouderschap, maar de mate van implementatie blijft beperkt tot strategieën waar het financieel voordeel oplevert. </w:t>
      </w:r>
      <w:proofErr w:type="spellStart"/>
      <w:r w:rsidRPr="000D0E32">
        <w:t>Governance</w:t>
      </w:r>
      <w:proofErr w:type="spellEnd"/>
      <w:r w:rsidRPr="000D0E32">
        <w:t xml:space="preserve"> is </w:t>
      </w:r>
      <w:r>
        <w:t>goed</w:t>
      </w:r>
      <w:r w:rsidRPr="000D0E32">
        <w:t xml:space="preserve"> ingericht, maar de private eigendomsstructuur zorgt voor minder externe controle. De recente incidenten op het gebied van toezicht en databeveiliging onderstrepen dat </w:t>
      </w:r>
      <w:proofErr w:type="spellStart"/>
      <w:r w:rsidRPr="000D0E32">
        <w:t>Fidelity</w:t>
      </w:r>
      <w:proofErr w:type="spellEnd"/>
      <w:r w:rsidRPr="000D0E32">
        <w:t xml:space="preserve"> nog stappen moet zetten om de betrouwbaarheid van </w:t>
      </w:r>
      <w:r>
        <w:t>de</w:t>
      </w:r>
      <w:r w:rsidRPr="000D0E32">
        <w:t xml:space="preserve"> interne processen te versterken. Al met al kan worden gesteld dat </w:t>
      </w:r>
      <w:proofErr w:type="spellStart"/>
      <w:r w:rsidRPr="000D0E32">
        <w:t>Fidelity</w:t>
      </w:r>
      <w:proofErr w:type="spellEnd"/>
      <w:r w:rsidRPr="000D0E32">
        <w:t xml:space="preserve"> </w:t>
      </w:r>
      <w:proofErr w:type="spellStart"/>
      <w:r w:rsidRPr="000D0E32">
        <w:t>Investments</w:t>
      </w:r>
      <w:proofErr w:type="spellEnd"/>
      <w:r w:rsidRPr="000D0E32">
        <w:t xml:space="preserve"> een professionele, maar vrij traditionele speler is, die duurzaamheid vooral ziet als een verlengstuk van financieel risicomanagement in plaats van als kernwaarde.</w:t>
      </w:r>
    </w:p>
    <w:p w14:paraId="2F62AE27" w14:textId="77777777" w:rsidR="00161DE2" w:rsidRDefault="00161DE2" w:rsidP="00161DE2">
      <w:pPr>
        <w:rPr>
          <w:b/>
          <w:bCs/>
        </w:rPr>
      </w:pPr>
    </w:p>
    <w:p w14:paraId="77BFEC80" w14:textId="77777777" w:rsidR="00161DE2" w:rsidRDefault="00161DE2" w:rsidP="00161DE2">
      <w:pPr>
        <w:rPr>
          <w:b/>
          <w:bCs/>
          <w:sz w:val="28"/>
          <w:szCs w:val="28"/>
        </w:rPr>
      </w:pPr>
      <w:r>
        <w:rPr>
          <w:b/>
          <w:bCs/>
          <w:sz w:val="28"/>
          <w:szCs w:val="28"/>
        </w:rPr>
        <w:t>Allianz Group</w:t>
      </w:r>
    </w:p>
    <w:p w14:paraId="18E0DEA4" w14:textId="77777777" w:rsidR="00161DE2" w:rsidRPr="00DF6516" w:rsidRDefault="00161DE2" w:rsidP="00161DE2">
      <w:pPr>
        <w:rPr>
          <w:b/>
          <w:bCs/>
        </w:rPr>
      </w:pPr>
      <w:r w:rsidRPr="00DF6516">
        <w:rPr>
          <w:b/>
          <w:bCs/>
        </w:rPr>
        <w:t>Duurzaamheidsbeleid</w:t>
      </w:r>
    </w:p>
    <w:p w14:paraId="05CA020A" w14:textId="77777777" w:rsidR="00161DE2" w:rsidRPr="00A82C6C" w:rsidRDefault="00161DE2" w:rsidP="00161DE2">
      <w:r w:rsidRPr="00A82C6C">
        <w:t>Allianz Group</w:t>
      </w:r>
      <w:r>
        <w:t xml:space="preserve"> is</w:t>
      </w:r>
      <w:r w:rsidRPr="00A82C6C">
        <w:t xml:space="preserve"> één van de grootste financiële instellingen ter wereld</w:t>
      </w:r>
      <w:r>
        <w:t xml:space="preserve">. Allianz </w:t>
      </w:r>
      <w:r w:rsidRPr="00A82C6C">
        <w:t xml:space="preserve">positioneert duurzaamheid als een kernonderdeel van haar strategie. In de </w:t>
      </w:r>
      <w:proofErr w:type="spellStart"/>
      <w:r w:rsidRPr="00A82C6C">
        <w:t>Sustainability</w:t>
      </w:r>
      <w:proofErr w:type="spellEnd"/>
      <w:r w:rsidRPr="00A82C6C">
        <w:t xml:space="preserve"> Hub beschrijft Allianz dat milieu-, sociale- en </w:t>
      </w:r>
      <w:proofErr w:type="spellStart"/>
      <w:r w:rsidRPr="00A82C6C">
        <w:t>governancefactoren</w:t>
      </w:r>
      <w:proofErr w:type="spellEnd"/>
      <w:r w:rsidRPr="00A82C6C">
        <w:t xml:space="preserve"> geïntegreerd zijn in alle bedrijfsactiviteiten, zowel binnen verzekeringen als binnen het vermogensbeheer (Allianz, </w:t>
      </w:r>
      <w:proofErr w:type="spellStart"/>
      <w:r w:rsidRPr="00A82C6C">
        <w:t>z.d.</w:t>
      </w:r>
      <w:proofErr w:type="spellEnd"/>
      <w:r w:rsidRPr="00A82C6C">
        <w:t xml:space="preserve">-a). Binnen de dochteronderneming Allianz Global </w:t>
      </w:r>
      <w:proofErr w:type="spellStart"/>
      <w:r w:rsidRPr="00A82C6C">
        <w:t>Investors</w:t>
      </w:r>
      <w:proofErr w:type="spellEnd"/>
      <w:r w:rsidRPr="00A82C6C">
        <w:t xml:space="preserve"> is een uitgebreid ESG-raamwerk opgesteld waarin staat dat ESG-analyse wordt gecombineerd met actief aandeelhouderschap om risico’s te verkleinen en waarde op lange termijn te creëren (Allianz Global </w:t>
      </w:r>
      <w:proofErr w:type="spellStart"/>
      <w:r w:rsidRPr="00A82C6C">
        <w:t>Investors</w:t>
      </w:r>
      <w:proofErr w:type="spellEnd"/>
      <w:r w:rsidRPr="00A82C6C">
        <w:t>, 2020).</w:t>
      </w:r>
    </w:p>
    <w:p w14:paraId="31BCDF8C" w14:textId="77777777" w:rsidR="00161DE2" w:rsidRPr="00A82C6C" w:rsidRDefault="00161DE2" w:rsidP="00161DE2">
      <w:r w:rsidRPr="00A82C6C">
        <w:t xml:space="preserve">Het duurzaamheidsbeleid bestaat uit drie hoofdelementen: integratie, uitsluiting en engagement. Integratie betekent dat ESG-factoren structureel worden meegenomen in beleggingsbeslissingen. Daarnaast hanteert Allianz duidelijke </w:t>
      </w:r>
      <w:proofErr w:type="spellStart"/>
      <w:r w:rsidRPr="00A82C6C">
        <w:t>exclusion</w:t>
      </w:r>
      <w:proofErr w:type="spellEnd"/>
      <w:r w:rsidRPr="00A82C6C">
        <w:t xml:space="preserve"> </w:t>
      </w:r>
      <w:proofErr w:type="spellStart"/>
      <w:r w:rsidRPr="00A82C6C">
        <w:t>policies</w:t>
      </w:r>
      <w:proofErr w:type="spellEnd"/>
      <w:r w:rsidRPr="00A82C6C">
        <w:t xml:space="preserve">, waarbij investeringen in onder meer kolen, tabak, controversiële wapens en bedrijven die internationale normen schenden worden uitgesloten (Allianz Global </w:t>
      </w:r>
      <w:proofErr w:type="spellStart"/>
      <w:r w:rsidRPr="00A82C6C">
        <w:t>Investors</w:t>
      </w:r>
      <w:proofErr w:type="spellEnd"/>
      <w:r w:rsidRPr="00A82C6C">
        <w:t xml:space="preserve">, </w:t>
      </w:r>
      <w:proofErr w:type="spellStart"/>
      <w:r w:rsidRPr="00A82C6C">
        <w:t>z.d</w:t>
      </w:r>
      <w:r>
        <w:t>.</w:t>
      </w:r>
      <w:proofErr w:type="spellEnd"/>
      <w:r w:rsidRPr="00A82C6C">
        <w:t xml:space="preserve">). Op het gebied van klimaatverandering heeft Allianz zich </w:t>
      </w:r>
      <w:r>
        <w:t>gefocust</w:t>
      </w:r>
      <w:r w:rsidRPr="00A82C6C">
        <w:t xml:space="preserve"> </w:t>
      </w:r>
      <w:r>
        <w:t xml:space="preserve">   </w:t>
      </w:r>
      <w:r w:rsidRPr="00A82C6C">
        <w:t xml:space="preserve">aan het behalen van netto-nul CO₂-uitstoot in de eigen beleggingsportefeuille tegen 2050, met tussentijdse doelstellingen voor 2030 (Allianz, </w:t>
      </w:r>
      <w:proofErr w:type="spellStart"/>
      <w:r w:rsidRPr="00A82C6C">
        <w:t>z.d.</w:t>
      </w:r>
      <w:proofErr w:type="spellEnd"/>
      <w:r w:rsidRPr="00A82C6C">
        <w:t xml:space="preserve">-b). Binnen de vastgoedtak, Allianz Real </w:t>
      </w:r>
      <w:proofErr w:type="spellStart"/>
      <w:r w:rsidRPr="00A82C6C">
        <w:t>Estate</w:t>
      </w:r>
      <w:proofErr w:type="spellEnd"/>
      <w:r w:rsidRPr="00A82C6C">
        <w:t xml:space="preserve">, geldt bijvoorbeeld dat alle gebouwen tegen 2050 klimaatneutraal moeten zijn (PIMCO Prime Real </w:t>
      </w:r>
      <w:proofErr w:type="spellStart"/>
      <w:r w:rsidRPr="00A82C6C">
        <w:t>Estate</w:t>
      </w:r>
      <w:proofErr w:type="spellEnd"/>
      <w:r w:rsidRPr="00A82C6C">
        <w:t>, 2024)</w:t>
      </w:r>
      <w:r>
        <w:t>.</w:t>
      </w:r>
    </w:p>
    <w:p w14:paraId="35D8D441" w14:textId="77777777" w:rsidR="00161DE2" w:rsidRPr="00A82C6C" w:rsidRDefault="00161DE2" w:rsidP="00161DE2">
      <w:r w:rsidRPr="00A82C6C">
        <w:lastRenderedPageBreak/>
        <w:t xml:space="preserve">Hoewel het beleid </w:t>
      </w:r>
      <w:r>
        <w:t>stevig</w:t>
      </w:r>
      <w:r w:rsidRPr="00A82C6C">
        <w:t xml:space="preserve"> en uitgebreid is, benadrukt Allianz</w:t>
      </w:r>
      <w:r>
        <w:t xml:space="preserve">, </w:t>
      </w:r>
      <w:r w:rsidRPr="00A82C6C">
        <w:t>net als veel andere grote Amerikaanse en Europese vermogensbeheerders</w:t>
      </w:r>
      <w:r>
        <w:t xml:space="preserve">, </w:t>
      </w:r>
      <w:r w:rsidRPr="00A82C6C">
        <w:t>vooral de financiële materialiteit van duurzaamheid. ESG wordt dus niet uitsluitend benaderd vanuit maatschappelijke verantwoordelijkheid, maar ook als instrument om rendement en risicobeheersing te verbeteren. Daardoor blijft er kritiek bestaan dat Allianz duurzaamheid vooral inzet als strategisch bedrijfsmodel in plaats van als intrinsieke waarde.</w:t>
      </w:r>
    </w:p>
    <w:p w14:paraId="5A5385A6" w14:textId="77777777" w:rsidR="00161DE2" w:rsidRPr="00A82C6C" w:rsidRDefault="00161DE2" w:rsidP="00161DE2"/>
    <w:p w14:paraId="513B0872" w14:textId="77777777" w:rsidR="00161DE2" w:rsidRPr="00DF6516" w:rsidRDefault="00161DE2" w:rsidP="00161DE2">
      <w:pPr>
        <w:rPr>
          <w:b/>
          <w:bCs/>
        </w:rPr>
      </w:pPr>
      <w:proofErr w:type="spellStart"/>
      <w:r w:rsidRPr="00DF6516">
        <w:rPr>
          <w:b/>
          <w:bCs/>
        </w:rPr>
        <w:t>Governance</w:t>
      </w:r>
      <w:proofErr w:type="spellEnd"/>
    </w:p>
    <w:p w14:paraId="60BFE0C4" w14:textId="77777777" w:rsidR="00161DE2" w:rsidRPr="00A82C6C" w:rsidRDefault="00161DE2" w:rsidP="00161DE2">
      <w:r w:rsidRPr="00A82C6C">
        <w:t xml:space="preserve">Op het gebied van </w:t>
      </w:r>
      <w:proofErr w:type="spellStart"/>
      <w:r w:rsidRPr="00A82C6C">
        <w:t>governance</w:t>
      </w:r>
      <w:proofErr w:type="spellEnd"/>
      <w:r w:rsidRPr="00A82C6C">
        <w:t xml:space="preserve"> kent Allianz een formeel en transparant raamwerk. Als beursgenoteerde onderneming publiceert Allianz jaarlijks een Corporate </w:t>
      </w:r>
      <w:proofErr w:type="spellStart"/>
      <w:r w:rsidRPr="00A82C6C">
        <w:t>Governance</w:t>
      </w:r>
      <w:proofErr w:type="spellEnd"/>
      <w:r w:rsidRPr="00A82C6C">
        <w:t xml:space="preserve"> Statement waarin wordt uitgelegd hoe het bestuur, toezicht en risicobeheer zijn ingericht (Allianz, 2024). De Raad van Bestuur bestaat uit acht leden, terwijl de Raad van Commissarissen toezicht houdt op beleid en strategie. Deze structuur zorgt voor een duidelijke </w:t>
      </w:r>
      <w:r>
        <w:t>verdeling</w:t>
      </w:r>
      <w:r w:rsidRPr="00A82C6C">
        <w:t xml:space="preserve"> tussen uitvoerende en toezichthoudende verantwoordelijkheden.</w:t>
      </w:r>
    </w:p>
    <w:p w14:paraId="3C1EB9DC" w14:textId="77777777" w:rsidR="00161DE2" w:rsidRPr="00A82C6C" w:rsidRDefault="00161DE2" w:rsidP="00161DE2">
      <w:r w:rsidRPr="00A82C6C">
        <w:t xml:space="preserve">Binnen Allianz Global </w:t>
      </w:r>
      <w:proofErr w:type="spellStart"/>
      <w:r w:rsidRPr="00A82C6C">
        <w:t>Investors</w:t>
      </w:r>
      <w:proofErr w:type="spellEnd"/>
      <w:r w:rsidRPr="00A82C6C">
        <w:t xml:space="preserve"> is bovendien een specifiek Global Corporate </w:t>
      </w:r>
      <w:proofErr w:type="spellStart"/>
      <w:r w:rsidRPr="00A82C6C">
        <w:t>Governance</w:t>
      </w:r>
      <w:proofErr w:type="spellEnd"/>
      <w:r w:rsidRPr="00A82C6C">
        <w:t xml:space="preserve"> Guideline vastgesteld. Hierin staat hoe het bedrijf omgaat met stemrecht, aandeelhoudersdialoog en verantwoord stemgedrag op aandeelhoudersvergaderingen (Allianz Global </w:t>
      </w:r>
      <w:proofErr w:type="spellStart"/>
      <w:r w:rsidRPr="00A82C6C">
        <w:t>Investors</w:t>
      </w:r>
      <w:proofErr w:type="spellEnd"/>
      <w:r w:rsidRPr="00A82C6C">
        <w:t>, 2023). Allianz stelt dat het als actieve aandeelhouder bedrijven aanmoedigt om te voldoen aan hoge normen op het gebied van transparantie, diversiteit en onafhankelijk bestuur.</w:t>
      </w:r>
    </w:p>
    <w:p w14:paraId="01CD1407" w14:textId="77777777" w:rsidR="00161DE2" w:rsidRPr="00A82C6C" w:rsidRDefault="00161DE2" w:rsidP="00161DE2">
      <w:r w:rsidRPr="00A82C6C">
        <w:t xml:space="preserve">Toch is de </w:t>
      </w:r>
      <w:proofErr w:type="spellStart"/>
      <w:r w:rsidRPr="00A82C6C">
        <w:t>governance</w:t>
      </w:r>
      <w:proofErr w:type="spellEnd"/>
      <w:r w:rsidRPr="00A82C6C">
        <w:t xml:space="preserve"> van Allianz niet zonder uitdagingen. De onderneming is </w:t>
      </w:r>
      <w:r>
        <w:t xml:space="preserve">erg </w:t>
      </w:r>
      <w:r w:rsidRPr="00A82C6C">
        <w:t xml:space="preserve">groot, internationaal en complex, met tal van dochterbedrijven. Volgens een analyse van </w:t>
      </w:r>
      <w:proofErr w:type="spellStart"/>
      <w:r w:rsidRPr="00A82C6C">
        <w:t>Morningstar</w:t>
      </w:r>
      <w:proofErr w:type="spellEnd"/>
      <w:r w:rsidRPr="00A82C6C">
        <w:t xml:space="preserve"> (2024) leidt die complexiteit soms tot risico’s op inconsistent beleid en vertraagde besluitvorming. Daarnaast werd Allianz in de afgelopen jaren geconfronteerd met tekortkomingen in intern toezicht, onder andere binnen de Amerikaanse vermogensbeheeractiviteiten. Ondanks deze punten wordt de algemene </w:t>
      </w:r>
      <w:proofErr w:type="spellStart"/>
      <w:r w:rsidRPr="00A82C6C">
        <w:t>governance</w:t>
      </w:r>
      <w:proofErr w:type="spellEnd"/>
      <w:r w:rsidRPr="00A82C6C">
        <w:t xml:space="preserve"> van Allianz doorgaans als sterk beoordeeld, mede door de uitgebreide rapportage en onafhankelijke </w:t>
      </w:r>
      <w:r>
        <w:t>controles</w:t>
      </w:r>
      <w:r w:rsidRPr="00A82C6C">
        <w:t>.</w:t>
      </w:r>
    </w:p>
    <w:p w14:paraId="3386019F" w14:textId="77777777" w:rsidR="00161DE2" w:rsidRPr="00A82C6C" w:rsidRDefault="00161DE2" w:rsidP="00161DE2"/>
    <w:p w14:paraId="36F909A1" w14:textId="77777777" w:rsidR="00161DE2" w:rsidRPr="00DF6516" w:rsidRDefault="00161DE2" w:rsidP="00161DE2">
      <w:pPr>
        <w:rPr>
          <w:b/>
          <w:bCs/>
        </w:rPr>
      </w:pPr>
      <w:r w:rsidRPr="00DF6516">
        <w:rPr>
          <w:b/>
          <w:bCs/>
        </w:rPr>
        <w:t>Bad Press</w:t>
      </w:r>
    </w:p>
    <w:p w14:paraId="0AF3404E" w14:textId="77777777" w:rsidR="00161DE2" w:rsidRPr="00A82C6C" w:rsidRDefault="00161DE2" w:rsidP="00161DE2">
      <w:r w:rsidRPr="00A82C6C">
        <w:t xml:space="preserve">Allianz heeft de afgelopen jaren te maken gehad met meerdere incidenten die het vertrouwen van beleggers en klanten hebben beïnvloed. Het bekendste voorbeeld is de zogenaamde </w:t>
      </w:r>
      <w:proofErr w:type="spellStart"/>
      <w:r w:rsidRPr="00A82C6C">
        <w:t>Structured</w:t>
      </w:r>
      <w:proofErr w:type="spellEnd"/>
      <w:r w:rsidRPr="00A82C6C">
        <w:t xml:space="preserve"> </w:t>
      </w:r>
      <w:proofErr w:type="spellStart"/>
      <w:r w:rsidRPr="00A82C6C">
        <w:t>Alpha</w:t>
      </w:r>
      <w:proofErr w:type="spellEnd"/>
      <w:r w:rsidRPr="00A82C6C">
        <w:t xml:space="preserve">-zaak in de Verenigde Staten. Allianz Global </w:t>
      </w:r>
      <w:proofErr w:type="spellStart"/>
      <w:r w:rsidRPr="00A82C6C">
        <w:t>Investors</w:t>
      </w:r>
      <w:proofErr w:type="spellEnd"/>
      <w:r w:rsidRPr="00A82C6C">
        <w:t xml:space="preserve"> schikte in 2022 met het Amerikaanse ministerie van Justitie (DOJ) en de </w:t>
      </w:r>
      <w:r>
        <w:t>instelling die de beurs controleert,</w:t>
      </w:r>
      <w:r w:rsidRPr="00A82C6C">
        <w:t xml:space="preserve"> SEC</w:t>
      </w:r>
      <w:r>
        <w:t>,</w:t>
      </w:r>
      <w:r w:rsidRPr="00A82C6C">
        <w:t xml:space="preserve"> nadat bleek dat fondsbeheerders hadden gefraudeerd met risicometingen binnen hun beleggingsproducten. De onderneming betaalde ruim 6 miljard dollar aan schadevergoedingen aan gedupeerde beleggers en erkende ernstige </w:t>
      </w:r>
      <w:r w:rsidRPr="00A82C6C">
        <w:lastRenderedPageBreak/>
        <w:t>tekortkomingen in intern toezicht (Allianz, 2022). Dit schandaal had een grote impact op de reputatie van Allianz GI en leidde tot een reorganisatie van het risicomanagement en compliance-beleid.</w:t>
      </w:r>
    </w:p>
    <w:p w14:paraId="30F6A982" w14:textId="77777777" w:rsidR="00161DE2" w:rsidRPr="00A82C6C" w:rsidRDefault="00161DE2" w:rsidP="00161DE2">
      <w:r w:rsidRPr="00A82C6C">
        <w:t xml:space="preserve">Daarnaast was er in 2024 een </w:t>
      </w:r>
      <w:proofErr w:type="spellStart"/>
      <w:r w:rsidRPr="00A82C6C">
        <w:t>datalek</w:t>
      </w:r>
      <w:proofErr w:type="spellEnd"/>
      <w:r w:rsidRPr="00A82C6C">
        <w:t xml:space="preserve"> bij Allianz Life in de Verenigde Staten, waarbij gegevens van naar schatting 1,4 miljoen klanten werden blootgesteld (</w:t>
      </w:r>
      <w:proofErr w:type="spellStart"/>
      <w:r w:rsidRPr="00A82C6C">
        <w:t>Associated</w:t>
      </w:r>
      <w:proofErr w:type="spellEnd"/>
      <w:r w:rsidRPr="00A82C6C">
        <w:t xml:space="preserve"> Press, 2024). Hoewel het bedrijf snel maatregelen nam, </w:t>
      </w:r>
      <w:r>
        <w:t>laat</w:t>
      </w:r>
      <w:r w:rsidRPr="00A82C6C">
        <w:t xml:space="preserve"> dit incident de kwetsbaarheid van digitale infrastructuur</w:t>
      </w:r>
      <w:r>
        <w:t xml:space="preserve"> zien</w:t>
      </w:r>
      <w:r w:rsidRPr="00A82C6C">
        <w:t>, ook bij grote financiële instellingen.</w:t>
      </w:r>
    </w:p>
    <w:p w14:paraId="01D1AA69" w14:textId="77777777" w:rsidR="00161DE2" w:rsidRPr="00A82C6C" w:rsidRDefault="00161DE2" w:rsidP="00161DE2">
      <w:r w:rsidRPr="00A82C6C">
        <w:t>Meer recent ontstond in 2025 reputatiecontroverse toen Allianz besloot om haar uitsluitingen op investeringen in nucleaire en militaire bedrijven te versoepelen. Volgens Reuters (2025) wilde het bedrijf hiermee inspelen op de Europese herbewapening en veranderende geopolitieke</w:t>
      </w:r>
      <w:r>
        <w:t xml:space="preserve"> status</w:t>
      </w:r>
      <w:r w:rsidRPr="00A82C6C">
        <w:t>. Deze beslissing leidde tot kritiek van duurzaamheidsorganisaties, die stelden dat Allianz hiermee afweek van eerdere duurzaamheidsbeloften.</w:t>
      </w:r>
    </w:p>
    <w:p w14:paraId="63832AE0" w14:textId="77777777" w:rsidR="00161DE2" w:rsidRPr="00A82C6C" w:rsidRDefault="00161DE2" w:rsidP="00161DE2">
      <w:r w:rsidRPr="00A82C6C">
        <w:t xml:space="preserve">Gezamenlijk laten deze gebeurtenissen zien dat, ondanks een sterk beleid en duidelijke </w:t>
      </w:r>
      <w:proofErr w:type="spellStart"/>
      <w:r w:rsidRPr="00A82C6C">
        <w:t>governance</w:t>
      </w:r>
      <w:proofErr w:type="spellEnd"/>
      <w:r w:rsidRPr="00A82C6C">
        <w:t xml:space="preserve">, reputatie- en </w:t>
      </w:r>
      <w:proofErr w:type="spellStart"/>
      <w:r w:rsidRPr="00A82C6C">
        <w:t>toezichtsriscio’s</w:t>
      </w:r>
      <w:proofErr w:type="spellEnd"/>
      <w:r w:rsidRPr="00A82C6C">
        <w:t xml:space="preserve"> </w:t>
      </w:r>
      <w:r>
        <w:t>realistisch</w:t>
      </w:r>
      <w:r w:rsidRPr="00A82C6C">
        <w:t xml:space="preserve"> blijven. Allianz heeft gereageerd door compliance-structuren aan te scherpen en meer nadruk te leggen op transparantie, maar de schade aan het imago toont aan dat duurzaamheidsbeloften in de praktijk moeilijk vol te houden zijn onder commerciële druk.</w:t>
      </w:r>
    </w:p>
    <w:p w14:paraId="3A10BE13" w14:textId="77777777" w:rsidR="00161DE2" w:rsidRPr="009F37BF" w:rsidRDefault="00161DE2" w:rsidP="00161DE2">
      <w:pPr>
        <w:rPr>
          <w:b/>
          <w:bCs/>
        </w:rPr>
      </w:pPr>
      <w:r w:rsidRPr="009F37BF">
        <w:rPr>
          <w:b/>
          <w:bCs/>
        </w:rPr>
        <w:t>Conclusie</w:t>
      </w:r>
    </w:p>
    <w:p w14:paraId="2F58C28F" w14:textId="77777777" w:rsidR="00161DE2" w:rsidRPr="00A82C6C" w:rsidRDefault="00161DE2" w:rsidP="00161DE2">
      <w:r w:rsidRPr="00A82C6C">
        <w:t xml:space="preserve">De analyse van Allianz Group laat zien dat de onderneming beschikt over een goed ontwikkeld en breed gedragen duurzaamheidsbeleid, waarin integratie, uitsluiting en actief aandeelhouderschap </w:t>
      </w:r>
      <w:r>
        <w:t>erg belangrijk zijn.</w:t>
      </w:r>
      <w:r w:rsidRPr="00A82C6C">
        <w:t xml:space="preserve"> </w:t>
      </w:r>
      <w:proofErr w:type="spellStart"/>
      <w:r w:rsidRPr="00A82C6C">
        <w:t>Governance</w:t>
      </w:r>
      <w:proofErr w:type="spellEnd"/>
      <w:r w:rsidRPr="00A82C6C">
        <w:t xml:space="preserve"> is formeel en transparant ingericht, met duidelijke scheiding tussen bestuur en toezicht. Tegelijkertijd blijkt uit recente incidenten dat er nog altijd risico’s bestaan op het gebied van intern toezicht, databeveiliging en reputatie. Allianz positioneert duurzaamheid en goed bestuur vooral als strategisch middel om financiële stabiliteit en rendement te </w:t>
      </w:r>
      <w:r>
        <w:t>kunnen realiseren</w:t>
      </w:r>
      <w:r w:rsidRPr="00A82C6C">
        <w:t xml:space="preserve">. Daarmee toont het bedrijf zich een sterke, maar ook </w:t>
      </w:r>
      <w:r>
        <w:t>zakelijke</w:t>
      </w:r>
      <w:r w:rsidRPr="00A82C6C">
        <w:t xml:space="preserve"> speler: duurzaamheid is belangrijk, zolang het in lijn blijft met d</w:t>
      </w:r>
      <w:r>
        <w:t>e financiële</w:t>
      </w:r>
      <w:r w:rsidRPr="00A82C6C">
        <w:t xml:space="preserve"> belangen van de organisatie.</w:t>
      </w:r>
    </w:p>
    <w:p w14:paraId="7B2CB1C0" w14:textId="77777777" w:rsidR="00161DE2" w:rsidRDefault="00161DE2" w:rsidP="00161DE2">
      <w:pPr>
        <w:rPr>
          <w:b/>
          <w:bCs/>
        </w:rPr>
      </w:pPr>
    </w:p>
    <w:p w14:paraId="7CAC0FBA" w14:textId="77777777" w:rsidR="00161DE2" w:rsidRDefault="00161DE2" w:rsidP="00161DE2">
      <w:pPr>
        <w:rPr>
          <w:b/>
          <w:bCs/>
        </w:rPr>
      </w:pPr>
    </w:p>
    <w:p w14:paraId="6FE451DF" w14:textId="77777777" w:rsidR="00161DE2" w:rsidRDefault="00161DE2" w:rsidP="00161DE2">
      <w:pPr>
        <w:rPr>
          <w:b/>
          <w:bCs/>
        </w:rPr>
      </w:pPr>
    </w:p>
    <w:p w14:paraId="2525C93B" w14:textId="77777777" w:rsidR="00161DE2" w:rsidRDefault="00161DE2" w:rsidP="00161DE2">
      <w:pPr>
        <w:rPr>
          <w:b/>
          <w:bCs/>
        </w:rPr>
      </w:pPr>
    </w:p>
    <w:p w14:paraId="35A5A198" w14:textId="77777777" w:rsidR="00161DE2" w:rsidRDefault="00161DE2" w:rsidP="00161DE2">
      <w:pPr>
        <w:rPr>
          <w:b/>
          <w:bCs/>
        </w:rPr>
      </w:pPr>
    </w:p>
    <w:p w14:paraId="2E3510CC" w14:textId="77777777" w:rsidR="00161DE2" w:rsidRDefault="00161DE2" w:rsidP="00161DE2">
      <w:pPr>
        <w:rPr>
          <w:b/>
          <w:bCs/>
        </w:rPr>
      </w:pPr>
    </w:p>
    <w:p w14:paraId="44D22E03" w14:textId="77777777" w:rsidR="00161DE2" w:rsidRDefault="00161DE2" w:rsidP="00161DE2">
      <w:pPr>
        <w:rPr>
          <w:b/>
          <w:bCs/>
        </w:rPr>
      </w:pPr>
    </w:p>
    <w:p w14:paraId="4E3C0301" w14:textId="77777777" w:rsidR="00161DE2" w:rsidRPr="00DF6516" w:rsidRDefault="00161DE2" w:rsidP="00161DE2">
      <w:pPr>
        <w:rPr>
          <w:b/>
          <w:bCs/>
          <w:sz w:val="28"/>
          <w:szCs w:val="28"/>
        </w:rPr>
      </w:pPr>
      <w:proofErr w:type="spellStart"/>
      <w:r w:rsidRPr="00DF6516">
        <w:rPr>
          <w:b/>
          <w:bCs/>
          <w:sz w:val="28"/>
          <w:szCs w:val="28"/>
        </w:rPr>
        <w:lastRenderedPageBreak/>
        <w:t>Vanguard</w:t>
      </w:r>
      <w:proofErr w:type="spellEnd"/>
      <w:r w:rsidRPr="00DF6516">
        <w:rPr>
          <w:b/>
          <w:bCs/>
          <w:sz w:val="28"/>
          <w:szCs w:val="28"/>
        </w:rPr>
        <w:t xml:space="preserve"> Group</w:t>
      </w:r>
    </w:p>
    <w:p w14:paraId="6F4C1600" w14:textId="77777777" w:rsidR="00161DE2" w:rsidRPr="00DF6516" w:rsidRDefault="00161DE2" w:rsidP="00161DE2">
      <w:pPr>
        <w:rPr>
          <w:b/>
          <w:bCs/>
        </w:rPr>
      </w:pPr>
      <w:r w:rsidRPr="00DF6516">
        <w:rPr>
          <w:b/>
          <w:bCs/>
        </w:rPr>
        <w:t>Duurzaamheidsbeleid</w:t>
      </w:r>
    </w:p>
    <w:p w14:paraId="54F4F9A1" w14:textId="77777777" w:rsidR="00161DE2" w:rsidRPr="00DF6516" w:rsidRDefault="00161DE2" w:rsidP="00161DE2">
      <w:proofErr w:type="spellStart"/>
      <w:r w:rsidRPr="00DF6516">
        <w:t>Vanguard</w:t>
      </w:r>
      <w:proofErr w:type="spellEnd"/>
      <w:r w:rsidRPr="00DF6516">
        <w:t xml:space="preserve"> </w:t>
      </w:r>
      <w:r>
        <w:t>positioneert</w:t>
      </w:r>
      <w:r w:rsidRPr="00DF6516">
        <w:t xml:space="preserve"> zich als een kostenbewuste vermogensbeheerder die beleggers de mogelijkheid biedt om via beleggingsproducten rekening te houden met ESG-factoren. In de “</w:t>
      </w:r>
      <w:proofErr w:type="spellStart"/>
      <w:r w:rsidRPr="00DF6516">
        <w:t>Responsible</w:t>
      </w:r>
      <w:proofErr w:type="spellEnd"/>
      <w:r w:rsidRPr="00DF6516">
        <w:t xml:space="preserve"> Investment Policy” </w:t>
      </w:r>
      <w:r>
        <w:t>verteld</w:t>
      </w:r>
      <w:r w:rsidRPr="00DF6516">
        <w:t xml:space="preserve"> </w:t>
      </w:r>
      <w:proofErr w:type="spellStart"/>
      <w:r w:rsidRPr="00DF6516">
        <w:t>Vanguard</w:t>
      </w:r>
      <w:proofErr w:type="spellEnd"/>
      <w:r w:rsidRPr="00DF6516">
        <w:t xml:space="preserve"> dat de overweging van milieufactoren, sociale factoren en </w:t>
      </w:r>
      <w:proofErr w:type="spellStart"/>
      <w:r w:rsidRPr="00DF6516">
        <w:t>governance</w:t>
      </w:r>
      <w:proofErr w:type="spellEnd"/>
      <w:r w:rsidRPr="00DF6516">
        <w:t>-factoren gebaseerd is op financiële materialiteit en passend binnen de beleggingsstrategie van elk fonds (</w:t>
      </w:r>
      <w:proofErr w:type="spellStart"/>
      <w:r w:rsidRPr="00DF6516">
        <w:t>Vanguard</w:t>
      </w:r>
      <w:proofErr w:type="spellEnd"/>
      <w:r w:rsidRPr="00DF6516">
        <w:t xml:space="preserve">, </w:t>
      </w:r>
      <w:proofErr w:type="spellStart"/>
      <w:r w:rsidRPr="00DF6516">
        <w:t>z.d.</w:t>
      </w:r>
      <w:proofErr w:type="spellEnd"/>
      <w:r w:rsidRPr="00DF6516">
        <w:t xml:space="preserve">). Voor beleggers die specifieke ESG-voorkeuren hebben (zoals uitsluiting van tabak, wapens of fossiele brandstoffen) biedt </w:t>
      </w:r>
      <w:proofErr w:type="spellStart"/>
      <w:r w:rsidRPr="00DF6516">
        <w:t>Vanguard</w:t>
      </w:r>
      <w:proofErr w:type="spellEnd"/>
      <w:r w:rsidRPr="00DF6516">
        <w:t xml:space="preserve"> zogenaamde “</w:t>
      </w:r>
      <w:proofErr w:type="spellStart"/>
      <w:r w:rsidRPr="00DF6516">
        <w:t>exclusionary</w:t>
      </w:r>
      <w:proofErr w:type="spellEnd"/>
      <w:r w:rsidRPr="00DF6516">
        <w:t xml:space="preserve"> ESG index </w:t>
      </w:r>
      <w:proofErr w:type="spellStart"/>
      <w:r w:rsidRPr="00DF6516">
        <w:t>products</w:t>
      </w:r>
      <w:proofErr w:type="spellEnd"/>
      <w:r w:rsidRPr="00DF6516">
        <w:t xml:space="preserve">” aan, waarin bepaalde bedrijfstakken worden uitgesloten of </w:t>
      </w:r>
      <w:proofErr w:type="spellStart"/>
      <w:r w:rsidRPr="00DF6516">
        <w:t>onderwogen</w:t>
      </w:r>
      <w:proofErr w:type="spellEnd"/>
      <w:r w:rsidRPr="00DF6516">
        <w:t xml:space="preserve"> (</w:t>
      </w:r>
      <w:proofErr w:type="spellStart"/>
      <w:r w:rsidRPr="00DF6516">
        <w:t>Vanguard</w:t>
      </w:r>
      <w:proofErr w:type="spellEnd"/>
      <w:r w:rsidRPr="00DF6516">
        <w:t xml:space="preserve">, 2024). Tegelijk erkent </w:t>
      </w:r>
      <w:proofErr w:type="spellStart"/>
      <w:r w:rsidRPr="00DF6516">
        <w:t>Vanguard</w:t>
      </w:r>
      <w:proofErr w:type="spellEnd"/>
      <w:r w:rsidRPr="00DF6516">
        <w:t xml:space="preserve"> dat de meeste actief beheerde fondsen geen expliciet ESG-mandaat hebben en dat ESG-integratie varieert per strategie (</w:t>
      </w:r>
      <w:proofErr w:type="spellStart"/>
      <w:r w:rsidRPr="00DF6516">
        <w:t>Vanguard</w:t>
      </w:r>
      <w:proofErr w:type="spellEnd"/>
      <w:r w:rsidRPr="00DF6516">
        <w:t>, 2024).</w:t>
      </w:r>
    </w:p>
    <w:p w14:paraId="55198A9A" w14:textId="77777777" w:rsidR="00161DE2" w:rsidRPr="00DF6516" w:rsidRDefault="00161DE2" w:rsidP="00161DE2">
      <w:r w:rsidRPr="00DF6516">
        <w:t>Hoewel het beleid op papier de juiste elementen bevat</w:t>
      </w:r>
      <w:r>
        <w:t xml:space="preserve">: </w:t>
      </w:r>
      <w:r w:rsidRPr="00DF6516">
        <w:t>integratie, uitsluiting</w:t>
      </w:r>
      <w:r>
        <w:t xml:space="preserve"> en</w:t>
      </w:r>
      <w:r w:rsidRPr="00DF6516">
        <w:t xml:space="preserve"> engagement</w:t>
      </w:r>
      <w:r>
        <w:t xml:space="preserve">, </w:t>
      </w:r>
      <w:r w:rsidRPr="00DF6516">
        <w:t xml:space="preserve">is er kritiek op de mate van uitvoering. Een opvallend punt is dat </w:t>
      </w:r>
      <w:proofErr w:type="spellStart"/>
      <w:r w:rsidRPr="00DF6516">
        <w:t>Vanguard</w:t>
      </w:r>
      <w:proofErr w:type="spellEnd"/>
      <w:r w:rsidRPr="00DF6516">
        <w:t xml:space="preserve"> in de jaarlijkse proxy</w:t>
      </w:r>
      <w:r w:rsidRPr="00DF6516">
        <w:rPr>
          <w:rFonts w:ascii="Cambria Math" w:hAnsi="Cambria Math" w:cs="Cambria Math"/>
        </w:rPr>
        <w:t>‐</w:t>
      </w:r>
      <w:r w:rsidRPr="00DF6516">
        <w:t xml:space="preserve">stemrondes in 2024 </w:t>
      </w:r>
      <w:r>
        <w:t>geen</w:t>
      </w:r>
      <w:r w:rsidRPr="00DF6516">
        <w:t xml:space="preserve"> enkele milieu</w:t>
      </w:r>
      <w:r w:rsidRPr="00DF6516">
        <w:rPr>
          <w:rFonts w:ascii="Cambria Math" w:hAnsi="Cambria Math" w:cs="Cambria Math"/>
        </w:rPr>
        <w:t>‐</w:t>
      </w:r>
      <w:r w:rsidRPr="00DF6516">
        <w:t xml:space="preserve"> of sociale aandeelhoudersvoorstellen steunde (</w:t>
      </w:r>
      <w:proofErr w:type="spellStart"/>
      <w:r w:rsidRPr="00DF6516">
        <w:t>Vanguard</w:t>
      </w:r>
      <w:proofErr w:type="spellEnd"/>
      <w:r w:rsidRPr="00DF6516">
        <w:t xml:space="preserve"> ondersteunde 0 van 400 E+S voorstellen) wat vragen oproept over de actieve inzet van ESG-beleid (Johnson, 2024). Kortom: </w:t>
      </w:r>
      <w:proofErr w:type="spellStart"/>
      <w:r w:rsidRPr="00DF6516">
        <w:t>Vanguard</w:t>
      </w:r>
      <w:proofErr w:type="spellEnd"/>
      <w:r w:rsidRPr="00DF6516">
        <w:t xml:space="preserve"> biedt ESG-mogelijkheden, maar de kernactiviteiten blijven sterk gericht op marktindexering en </w:t>
      </w:r>
      <w:r>
        <w:t>lage kosten</w:t>
      </w:r>
      <w:r w:rsidRPr="00DF6516">
        <w:t>.</w:t>
      </w:r>
    </w:p>
    <w:p w14:paraId="4FE70C1D" w14:textId="77777777" w:rsidR="00161DE2" w:rsidRPr="00DF6516" w:rsidRDefault="00161DE2" w:rsidP="00161DE2">
      <w:pPr>
        <w:rPr>
          <w:b/>
          <w:bCs/>
        </w:rPr>
      </w:pPr>
      <w:proofErr w:type="spellStart"/>
      <w:r w:rsidRPr="00DF6516">
        <w:rPr>
          <w:b/>
          <w:bCs/>
        </w:rPr>
        <w:t>Governance</w:t>
      </w:r>
      <w:proofErr w:type="spellEnd"/>
    </w:p>
    <w:p w14:paraId="6DC88A07" w14:textId="77777777" w:rsidR="00161DE2" w:rsidRPr="00DF6516" w:rsidRDefault="00161DE2" w:rsidP="00161DE2">
      <w:r w:rsidRPr="00DF6516">
        <w:t xml:space="preserve">Op het </w:t>
      </w:r>
      <w:r>
        <w:t xml:space="preserve">gebied van </w:t>
      </w:r>
      <w:proofErr w:type="spellStart"/>
      <w:r>
        <w:t>governance</w:t>
      </w:r>
      <w:proofErr w:type="spellEnd"/>
      <w:r w:rsidRPr="00DF6516">
        <w:t xml:space="preserve"> kent </w:t>
      </w:r>
      <w:proofErr w:type="spellStart"/>
      <w:r w:rsidRPr="00DF6516">
        <w:t>Vanguard</w:t>
      </w:r>
      <w:proofErr w:type="spellEnd"/>
      <w:r w:rsidRPr="00DF6516">
        <w:t xml:space="preserve"> een vrij </w:t>
      </w:r>
      <w:r>
        <w:t>standaard</w:t>
      </w:r>
      <w:r w:rsidRPr="00DF6516">
        <w:t xml:space="preserve"> structuur voor een grote Amerikaanse </w:t>
      </w:r>
      <w:r>
        <w:t>vermogensbeheerder</w:t>
      </w:r>
      <w:r w:rsidRPr="00DF6516">
        <w:t xml:space="preserve">: hoewel zij via </w:t>
      </w:r>
      <w:r>
        <w:t>de</w:t>
      </w:r>
      <w:r w:rsidRPr="00DF6516">
        <w:t xml:space="preserve"> fondsen eigendom is van beleggers, is er relatief beperkte externe druk zoals bij beursgenoteerde ondernemingen. </w:t>
      </w:r>
      <w:proofErr w:type="spellStart"/>
      <w:r w:rsidRPr="00DF6516">
        <w:t>Vanguard</w:t>
      </w:r>
      <w:proofErr w:type="spellEnd"/>
      <w:r w:rsidRPr="00DF6516">
        <w:t xml:space="preserve"> licht haar stembeleid</w:t>
      </w:r>
      <w:r>
        <w:t xml:space="preserve"> toe</w:t>
      </w:r>
      <w:r w:rsidRPr="00DF6516">
        <w:t xml:space="preserve"> via de “Investment </w:t>
      </w:r>
      <w:proofErr w:type="spellStart"/>
      <w:r w:rsidRPr="00DF6516">
        <w:t>Stewardship</w:t>
      </w:r>
      <w:proofErr w:type="spellEnd"/>
      <w:r w:rsidRPr="00DF6516">
        <w:t>” pagina en rapporteert hoe stemrechten worden uitgeoefend namens haar beleggers (</w:t>
      </w:r>
      <w:proofErr w:type="spellStart"/>
      <w:r w:rsidRPr="00DF6516">
        <w:t>Vanguard</w:t>
      </w:r>
      <w:proofErr w:type="spellEnd"/>
      <w:r w:rsidRPr="00DF6516">
        <w:t xml:space="preserve">, </w:t>
      </w:r>
      <w:proofErr w:type="spellStart"/>
      <w:r w:rsidRPr="00DF6516">
        <w:t>z.d.</w:t>
      </w:r>
      <w:proofErr w:type="spellEnd"/>
      <w:r w:rsidRPr="00DF6516">
        <w:t xml:space="preserve">). Ook biedt </w:t>
      </w:r>
      <w:proofErr w:type="spellStart"/>
      <w:r w:rsidRPr="00DF6516">
        <w:t>Vanguard</w:t>
      </w:r>
      <w:proofErr w:type="spellEnd"/>
      <w:r w:rsidRPr="00DF6516">
        <w:t xml:space="preserve"> het “Investor </w:t>
      </w:r>
      <w:proofErr w:type="spellStart"/>
      <w:r w:rsidRPr="00DF6516">
        <w:t>Choice</w:t>
      </w:r>
      <w:proofErr w:type="spellEnd"/>
      <w:r w:rsidRPr="00DF6516">
        <w:t>” programma aan waarin beleggers meer zeggenschap krijgen over hoe hun fondsen stemmen</w:t>
      </w:r>
      <w:r>
        <w:t xml:space="preserve">, </w:t>
      </w:r>
      <w:r w:rsidRPr="00DF6516">
        <w:t>inclusief opties die aangeven “zonder politieke of sociale agenda’s” (Reuters, 2024).</w:t>
      </w:r>
    </w:p>
    <w:p w14:paraId="4164120C" w14:textId="77777777" w:rsidR="00161DE2" w:rsidRPr="00DF6516" w:rsidRDefault="00161DE2" w:rsidP="00161DE2">
      <w:pPr>
        <w:rPr>
          <w:b/>
          <w:bCs/>
        </w:rPr>
      </w:pPr>
      <w:r w:rsidRPr="00DF6516">
        <w:rPr>
          <w:b/>
          <w:bCs/>
        </w:rPr>
        <w:t>Bad Press en Controverses</w:t>
      </w:r>
    </w:p>
    <w:p w14:paraId="37153897" w14:textId="77777777" w:rsidR="00161DE2" w:rsidRPr="00DF6516" w:rsidRDefault="00161DE2" w:rsidP="00161DE2">
      <w:proofErr w:type="spellStart"/>
      <w:r w:rsidRPr="00DF6516">
        <w:t>Vanguard</w:t>
      </w:r>
      <w:proofErr w:type="spellEnd"/>
      <w:r w:rsidRPr="00DF6516">
        <w:t xml:space="preserve"> is de laatste jaren in meerdere gevallen negatief in het nieuws gekomen. In januari 2025 meldde de U.S. </w:t>
      </w:r>
      <w:proofErr w:type="spellStart"/>
      <w:r w:rsidRPr="00DF6516">
        <w:t>Securities</w:t>
      </w:r>
      <w:proofErr w:type="spellEnd"/>
      <w:r w:rsidRPr="00DF6516">
        <w:t xml:space="preserve"> </w:t>
      </w:r>
      <w:proofErr w:type="spellStart"/>
      <w:r w:rsidRPr="00DF6516">
        <w:t>and</w:t>
      </w:r>
      <w:proofErr w:type="spellEnd"/>
      <w:r w:rsidRPr="00DF6516">
        <w:t xml:space="preserve"> Exchange </w:t>
      </w:r>
      <w:proofErr w:type="spellStart"/>
      <w:r w:rsidRPr="00DF6516">
        <w:t>Commission</w:t>
      </w:r>
      <w:proofErr w:type="spellEnd"/>
      <w:r w:rsidRPr="00DF6516">
        <w:t xml:space="preserve"> (SEC) dat </w:t>
      </w:r>
      <w:proofErr w:type="spellStart"/>
      <w:r w:rsidRPr="00DF6516">
        <w:t>Vanguard</w:t>
      </w:r>
      <w:proofErr w:type="spellEnd"/>
      <w:r w:rsidRPr="00DF6516">
        <w:t xml:space="preserve"> $106,41 miljoen moest betalen wegens het niet adequaat informeren van beleggers over kapitaalwinstuitkeringen in haar “Target </w:t>
      </w:r>
      <w:proofErr w:type="spellStart"/>
      <w:r w:rsidRPr="00DF6516">
        <w:t>Retirement</w:t>
      </w:r>
      <w:proofErr w:type="spellEnd"/>
      <w:r w:rsidRPr="00DF6516">
        <w:t xml:space="preserve"> Funds” in fiscale rekeningen (SEC, 2025). Dit wijst op toezicht</w:t>
      </w:r>
      <w:r w:rsidRPr="00DF6516">
        <w:rPr>
          <w:rFonts w:ascii="Cambria Math" w:hAnsi="Cambria Math" w:cs="Cambria Math"/>
        </w:rPr>
        <w:t>‐</w:t>
      </w:r>
      <w:r w:rsidRPr="00DF6516">
        <w:t xml:space="preserve"> en communicatieproblemen richting beleggers.</w:t>
      </w:r>
    </w:p>
    <w:p w14:paraId="4428D7B7" w14:textId="77777777" w:rsidR="00161DE2" w:rsidRPr="00DF6516" w:rsidRDefault="00161DE2" w:rsidP="00161DE2">
      <w:r w:rsidRPr="00DF6516">
        <w:t xml:space="preserve">Daarnaast werd </w:t>
      </w:r>
      <w:proofErr w:type="spellStart"/>
      <w:r w:rsidRPr="00DF6516">
        <w:t>Vanguard</w:t>
      </w:r>
      <w:proofErr w:type="spellEnd"/>
      <w:r w:rsidRPr="00DF6516">
        <w:t xml:space="preserve"> in 2024 aangeklaagd door republikeinse staten (</w:t>
      </w:r>
      <w:r>
        <w:t>zoals</w:t>
      </w:r>
      <w:r w:rsidRPr="00DF6516">
        <w:t xml:space="preserve"> Texas) samen met andere grote beheerders </w:t>
      </w:r>
      <w:r>
        <w:t>vanwege</w:t>
      </w:r>
      <w:r w:rsidRPr="00DF6516">
        <w:t xml:space="preserve"> vermeende medeplichtigheid aan </w:t>
      </w:r>
      <w:proofErr w:type="spellStart"/>
      <w:r w:rsidRPr="00DF6516">
        <w:lastRenderedPageBreak/>
        <w:t>klimaatgerelateerde</w:t>
      </w:r>
      <w:proofErr w:type="spellEnd"/>
      <w:r w:rsidRPr="00DF6516">
        <w:t xml:space="preserve"> investeringspraktijken die de kolenproductie zouden verminderen, wat volgens de aanklagers lagere energiebeschikbaarheid veroorzaakte (Reuters, 2024). Ook werd kritiek geuit op het feit dat </w:t>
      </w:r>
      <w:proofErr w:type="spellStart"/>
      <w:r w:rsidRPr="00DF6516">
        <w:t>Vanguard</w:t>
      </w:r>
      <w:proofErr w:type="spellEnd"/>
      <w:r w:rsidRPr="00DF6516">
        <w:t xml:space="preserve"> geen enkele milieu- of sociale aandeelhoudersvoorstel steunde in 2024 (Johnson, 2024)</w:t>
      </w:r>
      <w:r>
        <w:t xml:space="preserve">, </w:t>
      </w:r>
      <w:r w:rsidRPr="00DF6516">
        <w:t>wat gezien wordt als teken dat ESG slechts een beperkte rol speelt.</w:t>
      </w:r>
    </w:p>
    <w:p w14:paraId="6DE85FAB" w14:textId="77777777" w:rsidR="00161DE2" w:rsidRPr="00DF6516" w:rsidRDefault="00161DE2" w:rsidP="00161DE2">
      <w:r w:rsidRPr="00DF6516">
        <w:t xml:space="preserve">Verder beschuldigt een Australische toezichthouder </w:t>
      </w:r>
      <w:proofErr w:type="spellStart"/>
      <w:r w:rsidRPr="00DF6516">
        <w:t>Vanguard</w:t>
      </w:r>
      <w:proofErr w:type="spellEnd"/>
      <w:r w:rsidRPr="00DF6516">
        <w:t xml:space="preserve"> ervan zogenaamde “</w:t>
      </w:r>
      <w:proofErr w:type="spellStart"/>
      <w:r w:rsidRPr="00DF6516">
        <w:t>ethically</w:t>
      </w:r>
      <w:proofErr w:type="spellEnd"/>
      <w:r w:rsidRPr="00DF6516">
        <w:t xml:space="preserve"> </w:t>
      </w:r>
      <w:proofErr w:type="spellStart"/>
      <w:r w:rsidRPr="00DF6516">
        <w:t>conscious</w:t>
      </w:r>
      <w:proofErr w:type="spellEnd"/>
      <w:r w:rsidRPr="00DF6516">
        <w:t xml:space="preserve">” fondsen te hebben aangeboden die in praktijk onvoldoende screening toepasten, wat neerkomt op greenwashing (The </w:t>
      </w:r>
      <w:proofErr w:type="spellStart"/>
      <w:r w:rsidRPr="00DF6516">
        <w:t>Australian</w:t>
      </w:r>
      <w:proofErr w:type="spellEnd"/>
      <w:r w:rsidRPr="00DF6516">
        <w:t xml:space="preserve">, 2024). Tot slot weigerde </w:t>
      </w:r>
      <w:proofErr w:type="spellStart"/>
      <w:r w:rsidRPr="00DF6516">
        <w:t>Vanguard</w:t>
      </w:r>
      <w:proofErr w:type="spellEnd"/>
      <w:r w:rsidRPr="00DF6516">
        <w:t xml:space="preserve"> te reageren op oproepen van de Business &amp; Human </w:t>
      </w:r>
      <w:proofErr w:type="spellStart"/>
      <w:r w:rsidRPr="00DF6516">
        <w:t>Rights</w:t>
      </w:r>
      <w:proofErr w:type="spellEnd"/>
      <w:r w:rsidRPr="00DF6516">
        <w:t xml:space="preserve"> Resource Centre om wapentransfers aan Israël te staken, wat het imago op het gebied van internationaal maatschappelijk verantwoord beleggen schaadt (Business &amp; Human </w:t>
      </w:r>
      <w:proofErr w:type="spellStart"/>
      <w:r w:rsidRPr="00DF6516">
        <w:t>Rights</w:t>
      </w:r>
      <w:proofErr w:type="spellEnd"/>
      <w:r w:rsidRPr="00DF6516">
        <w:t xml:space="preserve"> Resource Centre, 2024).</w:t>
      </w:r>
    </w:p>
    <w:p w14:paraId="06AB1B4F" w14:textId="77777777" w:rsidR="00161DE2" w:rsidRPr="00DF6516" w:rsidRDefault="00161DE2" w:rsidP="00161DE2">
      <w:pPr>
        <w:rPr>
          <w:b/>
          <w:bCs/>
        </w:rPr>
      </w:pPr>
      <w:r w:rsidRPr="00DF6516">
        <w:rPr>
          <w:b/>
          <w:bCs/>
        </w:rPr>
        <w:t>Conclusie</w:t>
      </w:r>
    </w:p>
    <w:p w14:paraId="6D4366A9" w14:textId="77777777" w:rsidR="00161DE2" w:rsidRPr="00DF6516" w:rsidRDefault="00161DE2" w:rsidP="00161DE2">
      <w:proofErr w:type="spellStart"/>
      <w:r w:rsidRPr="00DF6516">
        <w:t>Vanguard</w:t>
      </w:r>
      <w:proofErr w:type="spellEnd"/>
      <w:r w:rsidRPr="00DF6516">
        <w:t xml:space="preserve"> laat zien dat </w:t>
      </w:r>
      <w:r>
        <w:t>het</w:t>
      </w:r>
      <w:r w:rsidRPr="00DF6516">
        <w:t xml:space="preserve"> een ESG-beleid heeft met de juiste elementen</w:t>
      </w:r>
      <w:r>
        <w:t xml:space="preserve"> als </w:t>
      </w:r>
      <w:r w:rsidRPr="00DF6516">
        <w:t>uitsluitingen, ESG-producten</w:t>
      </w:r>
      <w:r>
        <w:t xml:space="preserve"> en</w:t>
      </w:r>
      <w:r w:rsidRPr="00DF6516">
        <w:t xml:space="preserve"> </w:t>
      </w:r>
      <w:proofErr w:type="spellStart"/>
      <w:r w:rsidRPr="00DF6516">
        <w:t>stewardship</w:t>
      </w:r>
      <w:proofErr w:type="spellEnd"/>
      <w:r w:rsidRPr="00DF6516">
        <w:t xml:space="preserve"> mogelijkheden</w:t>
      </w:r>
      <w:r>
        <w:t xml:space="preserve">, </w:t>
      </w:r>
      <w:r w:rsidRPr="00DF6516">
        <w:t xml:space="preserve">maar de centrale bedrijfsstrategie blijft gericht op </w:t>
      </w:r>
      <w:proofErr w:type="spellStart"/>
      <w:r w:rsidRPr="00DF6516">
        <w:t>kostenlage</w:t>
      </w:r>
      <w:proofErr w:type="spellEnd"/>
      <w:r w:rsidRPr="00DF6516">
        <w:t xml:space="preserve"> </w:t>
      </w:r>
      <w:r>
        <w:t>indexen</w:t>
      </w:r>
      <w:r w:rsidRPr="00DF6516">
        <w:t xml:space="preserve"> en financiële doelstellingen. </w:t>
      </w:r>
      <w:proofErr w:type="spellStart"/>
      <w:r w:rsidRPr="00DF6516">
        <w:t>Governance</w:t>
      </w:r>
      <w:proofErr w:type="spellEnd"/>
      <w:r w:rsidRPr="00DF6516">
        <w:t xml:space="preserve"> is </w:t>
      </w:r>
      <w:r>
        <w:t>redelijk</w:t>
      </w:r>
      <w:r w:rsidRPr="00DF6516">
        <w:t xml:space="preserve"> ingericht, maar de mate waarin beleggers invloed hebben, en de transparantie van stemgedrag, zijn beperkter dan bij sommige Europese managers. De recente incidenten op het gebied van fiscale communicatie, ESG-stemgedrag en maatschappelijke druk tonen dat </w:t>
      </w:r>
      <w:proofErr w:type="spellStart"/>
      <w:r w:rsidRPr="00DF6516">
        <w:t>Vanguard</w:t>
      </w:r>
      <w:proofErr w:type="spellEnd"/>
      <w:r w:rsidRPr="00DF6516">
        <w:t xml:space="preserve"> ondanks haar schaal ook risico’s loopt op reputatie en uitvoering. </w:t>
      </w:r>
    </w:p>
    <w:p w14:paraId="4DC64DBE" w14:textId="77777777" w:rsidR="00161DE2" w:rsidRPr="00DF6516" w:rsidRDefault="00161DE2" w:rsidP="00161DE2"/>
    <w:p w14:paraId="4BA13EAD" w14:textId="77777777" w:rsidR="00161DE2" w:rsidRDefault="00161DE2" w:rsidP="00161DE2">
      <w:pPr>
        <w:rPr>
          <w:b/>
          <w:bCs/>
        </w:rPr>
      </w:pPr>
    </w:p>
    <w:p w14:paraId="03EE45B9" w14:textId="77777777" w:rsidR="00161DE2" w:rsidRDefault="00161DE2" w:rsidP="00161DE2">
      <w:pPr>
        <w:rPr>
          <w:b/>
          <w:bCs/>
        </w:rPr>
      </w:pPr>
    </w:p>
    <w:p w14:paraId="66F579A2" w14:textId="77777777" w:rsidR="00161DE2" w:rsidRDefault="00161DE2" w:rsidP="00161DE2">
      <w:pPr>
        <w:rPr>
          <w:b/>
          <w:bCs/>
        </w:rPr>
      </w:pPr>
    </w:p>
    <w:p w14:paraId="72483B3A" w14:textId="77777777" w:rsidR="00161DE2" w:rsidRDefault="00161DE2" w:rsidP="00161DE2">
      <w:pPr>
        <w:rPr>
          <w:b/>
          <w:bCs/>
        </w:rPr>
      </w:pPr>
    </w:p>
    <w:p w14:paraId="5815182E" w14:textId="77777777" w:rsidR="00161DE2" w:rsidRDefault="00161DE2" w:rsidP="00161DE2">
      <w:pPr>
        <w:rPr>
          <w:b/>
          <w:bCs/>
        </w:rPr>
      </w:pPr>
    </w:p>
    <w:p w14:paraId="3C4D7D25" w14:textId="77777777" w:rsidR="00161DE2" w:rsidRDefault="00161DE2" w:rsidP="00161DE2">
      <w:pPr>
        <w:rPr>
          <w:b/>
          <w:bCs/>
        </w:rPr>
      </w:pPr>
    </w:p>
    <w:p w14:paraId="03C6C585" w14:textId="77777777" w:rsidR="00161DE2" w:rsidRDefault="00161DE2" w:rsidP="00161DE2">
      <w:pPr>
        <w:rPr>
          <w:b/>
          <w:bCs/>
        </w:rPr>
      </w:pPr>
    </w:p>
    <w:p w14:paraId="7B9420F5" w14:textId="77777777" w:rsidR="00161DE2" w:rsidRDefault="00161DE2" w:rsidP="00161DE2">
      <w:pPr>
        <w:rPr>
          <w:b/>
          <w:bCs/>
        </w:rPr>
      </w:pPr>
    </w:p>
    <w:p w14:paraId="7CC14632" w14:textId="77777777" w:rsidR="00161DE2" w:rsidRDefault="00161DE2" w:rsidP="00161DE2">
      <w:pPr>
        <w:rPr>
          <w:b/>
          <w:bCs/>
        </w:rPr>
      </w:pPr>
    </w:p>
    <w:p w14:paraId="1DAEDB49" w14:textId="77777777" w:rsidR="00161DE2" w:rsidRDefault="00161DE2" w:rsidP="00161DE2">
      <w:pPr>
        <w:rPr>
          <w:b/>
          <w:bCs/>
        </w:rPr>
      </w:pPr>
    </w:p>
    <w:p w14:paraId="581F4161" w14:textId="77777777" w:rsidR="00161DE2" w:rsidRDefault="00161DE2" w:rsidP="00161DE2">
      <w:pPr>
        <w:rPr>
          <w:b/>
          <w:bCs/>
        </w:rPr>
      </w:pPr>
    </w:p>
    <w:p w14:paraId="421C197A" w14:textId="77777777" w:rsidR="00161DE2" w:rsidRPr="00F07F9D" w:rsidRDefault="00161DE2" w:rsidP="00161DE2">
      <w:pPr>
        <w:rPr>
          <w:b/>
          <w:bCs/>
          <w:sz w:val="28"/>
          <w:szCs w:val="28"/>
        </w:rPr>
      </w:pPr>
      <w:r w:rsidRPr="00F07F9D">
        <w:rPr>
          <w:b/>
          <w:bCs/>
          <w:sz w:val="28"/>
          <w:szCs w:val="28"/>
        </w:rPr>
        <w:lastRenderedPageBreak/>
        <w:t>Blackrock</w:t>
      </w:r>
    </w:p>
    <w:p w14:paraId="4B0A4518" w14:textId="77777777" w:rsidR="00161DE2" w:rsidRPr="00F07F9D" w:rsidRDefault="00161DE2" w:rsidP="00161DE2">
      <w:pPr>
        <w:rPr>
          <w:b/>
          <w:bCs/>
        </w:rPr>
      </w:pPr>
      <w:r w:rsidRPr="00F07F9D">
        <w:rPr>
          <w:b/>
          <w:bCs/>
        </w:rPr>
        <w:t xml:space="preserve">Duurzaamheidsbeleid </w:t>
      </w:r>
    </w:p>
    <w:p w14:paraId="64099983" w14:textId="77777777" w:rsidR="00161DE2" w:rsidRPr="008959EE" w:rsidRDefault="00161DE2" w:rsidP="00161DE2">
      <w:proofErr w:type="spellStart"/>
      <w:r w:rsidRPr="00F07F9D">
        <w:t>BlackRock</w:t>
      </w:r>
      <w:proofErr w:type="spellEnd"/>
      <w:r w:rsidRPr="00F07F9D">
        <w:t xml:space="preserve"> positioneert duurzaamheid als onderdeel van haar verantwoordelijkheid: in haar ESG Integration Statement stelt het bedrijf dat milieu, sociale en </w:t>
      </w:r>
      <w:proofErr w:type="spellStart"/>
      <w:r w:rsidRPr="00F07F9D">
        <w:t>governancefactoren</w:t>
      </w:r>
      <w:proofErr w:type="spellEnd"/>
      <w:r w:rsidRPr="00F07F9D">
        <w:t xml:space="preserve"> (ESG) worden meegenomen waar financieel materieel voor het rendement en risico van portefeuilles</w:t>
      </w:r>
      <w:r>
        <w:t xml:space="preserve"> </w:t>
      </w:r>
      <w:r w:rsidRPr="00083805">
        <w:t>(</w:t>
      </w:r>
      <w:proofErr w:type="spellStart"/>
      <w:r w:rsidRPr="00083805">
        <w:t>BlackRock</w:t>
      </w:r>
      <w:proofErr w:type="spellEnd"/>
      <w:r w:rsidRPr="00083805">
        <w:t xml:space="preserve">, 2024). </w:t>
      </w:r>
      <w:r w:rsidRPr="00F07F9D">
        <w:t xml:space="preserve">Op haar website benadrukt </w:t>
      </w:r>
      <w:proofErr w:type="spellStart"/>
      <w:r w:rsidRPr="00F07F9D">
        <w:t>BlackRock</w:t>
      </w:r>
      <w:proofErr w:type="spellEnd"/>
      <w:r w:rsidRPr="00F07F9D">
        <w:t xml:space="preserve"> dat ze gericht is op “transparantie”, “lange termijn </w:t>
      </w:r>
      <w:proofErr w:type="spellStart"/>
      <w:r w:rsidRPr="00F07F9D">
        <w:t>waardecreatie</w:t>
      </w:r>
      <w:proofErr w:type="spellEnd"/>
      <w:r w:rsidRPr="00F07F9D">
        <w:t xml:space="preserve">” en “sterke </w:t>
      </w:r>
      <w:proofErr w:type="spellStart"/>
      <w:r w:rsidRPr="00F07F9D">
        <w:t>governance</w:t>
      </w:r>
      <w:proofErr w:type="spellEnd"/>
      <w:r w:rsidRPr="00F07F9D">
        <w:t xml:space="preserve">” als kerncomponenten van corporate duurzaamheid. </w:t>
      </w:r>
    </w:p>
    <w:p w14:paraId="5F5310BA" w14:textId="77777777" w:rsidR="00161DE2" w:rsidRPr="00F07F9D" w:rsidRDefault="00161DE2" w:rsidP="00161DE2">
      <w:proofErr w:type="spellStart"/>
      <w:r w:rsidRPr="00F07F9D">
        <w:t>BlackRock</w:t>
      </w:r>
      <w:proofErr w:type="spellEnd"/>
      <w:r w:rsidRPr="00F07F9D">
        <w:t xml:space="preserve"> biedt via haar “</w:t>
      </w:r>
      <w:proofErr w:type="spellStart"/>
      <w:r w:rsidRPr="00F07F9D">
        <w:t>Sustainable</w:t>
      </w:r>
      <w:proofErr w:type="spellEnd"/>
      <w:r w:rsidRPr="00F07F9D">
        <w:t xml:space="preserve"> </w:t>
      </w:r>
      <w:proofErr w:type="spellStart"/>
      <w:r w:rsidRPr="00F07F9D">
        <w:t>Investing</w:t>
      </w:r>
      <w:proofErr w:type="spellEnd"/>
      <w:r w:rsidRPr="00F07F9D">
        <w:t>”</w:t>
      </w:r>
      <w:r>
        <w:t xml:space="preserve"> </w:t>
      </w:r>
      <w:r w:rsidRPr="00F07F9D">
        <w:t xml:space="preserve">platform duurzame beleggingsproducten aan, waaronder </w:t>
      </w:r>
      <w:proofErr w:type="spellStart"/>
      <w:r w:rsidRPr="00F07F9D">
        <w:t>ETF’s</w:t>
      </w:r>
      <w:proofErr w:type="spellEnd"/>
      <w:r w:rsidRPr="00F07F9D">
        <w:t xml:space="preserve"> en fondsen waarin ESG</w:t>
      </w:r>
      <w:r w:rsidRPr="00F07F9D">
        <w:rPr>
          <w:rFonts w:ascii="Cambria Math" w:hAnsi="Cambria Math" w:cs="Cambria Math"/>
        </w:rPr>
        <w:t>‐</w:t>
      </w:r>
      <w:r w:rsidRPr="00F07F9D">
        <w:t>criteria expliciet worden toegepast (</w:t>
      </w:r>
      <w:proofErr w:type="spellStart"/>
      <w:r w:rsidRPr="00F07F9D">
        <w:t>BlackRock</w:t>
      </w:r>
      <w:proofErr w:type="spellEnd"/>
      <w:r w:rsidRPr="00F07F9D">
        <w:t xml:space="preserve">, 2024). </w:t>
      </w:r>
      <w:r>
        <w:t>Verder</w:t>
      </w:r>
      <w:r w:rsidRPr="00F07F9D">
        <w:t xml:space="preserve"> is er een aparte </w:t>
      </w:r>
      <w:r w:rsidRPr="00F07F9D">
        <w:rPr>
          <w:rFonts w:ascii="Aptos" w:hAnsi="Aptos" w:cs="Aptos"/>
        </w:rPr>
        <w:t>“</w:t>
      </w:r>
      <w:proofErr w:type="spellStart"/>
      <w:r w:rsidRPr="00F07F9D">
        <w:t>Sustainable</w:t>
      </w:r>
      <w:proofErr w:type="spellEnd"/>
      <w:r w:rsidRPr="00F07F9D">
        <w:t xml:space="preserve"> &amp; </w:t>
      </w:r>
      <w:proofErr w:type="spellStart"/>
      <w:r w:rsidRPr="00F07F9D">
        <w:t>Transition</w:t>
      </w:r>
      <w:proofErr w:type="spellEnd"/>
      <w:r w:rsidRPr="00F07F9D">
        <w:t xml:space="preserve"> </w:t>
      </w:r>
      <w:proofErr w:type="spellStart"/>
      <w:r w:rsidRPr="00F07F9D">
        <w:t>Investing</w:t>
      </w:r>
      <w:proofErr w:type="spellEnd"/>
      <w:r w:rsidRPr="00F07F9D">
        <w:rPr>
          <w:rFonts w:ascii="Aptos" w:hAnsi="Aptos" w:cs="Aptos"/>
        </w:rPr>
        <w:t>”</w:t>
      </w:r>
      <w:r w:rsidRPr="00F07F9D">
        <w:t xml:space="preserve"> benadering: </w:t>
      </w:r>
      <w:proofErr w:type="spellStart"/>
      <w:r w:rsidRPr="00F07F9D">
        <w:t>BlackRock</w:t>
      </w:r>
      <w:proofErr w:type="spellEnd"/>
      <w:r w:rsidRPr="00F07F9D">
        <w:t xml:space="preserve"> zegt actief te investeren in de transitie naar een lage-</w:t>
      </w:r>
      <w:r>
        <w:t>CO2 economie</w:t>
      </w:r>
      <w:r w:rsidRPr="00F07F9D">
        <w:t>, waarbij bedrijven geselecteerd worden op hun traject in plaats van enkel op bestaand duurzaam leiderschap (</w:t>
      </w:r>
      <w:proofErr w:type="spellStart"/>
      <w:r w:rsidRPr="00F07F9D">
        <w:t>BlackRock</w:t>
      </w:r>
      <w:proofErr w:type="spellEnd"/>
      <w:r w:rsidRPr="00F07F9D">
        <w:t>, 2024).</w:t>
      </w:r>
    </w:p>
    <w:p w14:paraId="10B59D1E" w14:textId="77777777" w:rsidR="00161DE2" w:rsidRPr="009231B4" w:rsidRDefault="00161DE2" w:rsidP="00161DE2">
      <w:r w:rsidRPr="00F07F9D">
        <w:t xml:space="preserve">Toch bestaat </w:t>
      </w:r>
      <w:r>
        <w:t xml:space="preserve">er </w:t>
      </w:r>
      <w:r w:rsidRPr="00F07F9D">
        <w:t xml:space="preserve">kritiek op de uitvoering van dit beleid. </w:t>
      </w:r>
      <w:r>
        <w:t>T</w:t>
      </w:r>
      <w:r w:rsidRPr="00F07F9D">
        <w:t xml:space="preserve">ussen 2021 en 2024 </w:t>
      </w:r>
      <w:r>
        <w:t>had Blackrock de</w:t>
      </w:r>
      <w:r w:rsidRPr="00F07F9D">
        <w:t xml:space="preserve"> steun aan milieu</w:t>
      </w:r>
      <w:r w:rsidRPr="00F07F9D">
        <w:rPr>
          <w:rFonts w:ascii="Cambria Math" w:hAnsi="Cambria Math" w:cs="Cambria Math"/>
        </w:rPr>
        <w:t>‐</w:t>
      </w:r>
      <w:r w:rsidRPr="00F07F9D">
        <w:t xml:space="preserve"> en sociale aandeelhoudersvoorstellen scherp </w:t>
      </w:r>
      <w:r>
        <w:t>laten</w:t>
      </w:r>
      <w:r w:rsidRPr="00F07F9D">
        <w:t xml:space="preserve"> </w:t>
      </w:r>
      <w:r>
        <w:t xml:space="preserve">teruglopen, </w:t>
      </w:r>
      <w:r w:rsidRPr="00F07F9D">
        <w:t>van circa 47 % in 2021 naar slechts 4 % in 2024 (</w:t>
      </w:r>
      <w:proofErr w:type="spellStart"/>
      <w:r w:rsidRPr="00F07F9D">
        <w:t>Posner</w:t>
      </w:r>
      <w:proofErr w:type="spellEnd"/>
      <w:r w:rsidRPr="00F07F9D">
        <w:t xml:space="preserve">, 2024). Ook is er een klacht ingediend bij de </w:t>
      </w:r>
      <w:proofErr w:type="spellStart"/>
      <w:r w:rsidRPr="00F07F9D">
        <w:t>Organisation</w:t>
      </w:r>
      <w:proofErr w:type="spellEnd"/>
      <w:r w:rsidRPr="00F07F9D">
        <w:t xml:space="preserve"> </w:t>
      </w:r>
      <w:proofErr w:type="spellStart"/>
      <w:r w:rsidRPr="00F07F9D">
        <w:t>for</w:t>
      </w:r>
      <w:proofErr w:type="spellEnd"/>
      <w:r w:rsidRPr="00F07F9D">
        <w:t xml:space="preserve"> </w:t>
      </w:r>
      <w:proofErr w:type="spellStart"/>
      <w:r w:rsidRPr="00F07F9D">
        <w:t>Economic</w:t>
      </w:r>
      <w:proofErr w:type="spellEnd"/>
      <w:r w:rsidRPr="00F07F9D">
        <w:t xml:space="preserve"> </w:t>
      </w:r>
      <w:proofErr w:type="spellStart"/>
      <w:r w:rsidRPr="00F07F9D">
        <w:t>Co</w:t>
      </w:r>
      <w:r w:rsidRPr="00F07F9D">
        <w:rPr>
          <w:rFonts w:ascii="Cambria Math" w:hAnsi="Cambria Math" w:cs="Cambria Math"/>
        </w:rPr>
        <w:t>‑</w:t>
      </w:r>
      <w:r w:rsidRPr="00F07F9D">
        <w:t>operation</w:t>
      </w:r>
      <w:proofErr w:type="spellEnd"/>
      <w:r w:rsidRPr="00F07F9D">
        <w:t xml:space="preserve"> </w:t>
      </w:r>
      <w:proofErr w:type="spellStart"/>
      <w:r w:rsidRPr="00F07F9D">
        <w:t>and</w:t>
      </w:r>
      <w:proofErr w:type="spellEnd"/>
      <w:r w:rsidRPr="00F07F9D">
        <w:t xml:space="preserve"> Development (OECD) voor vermeende betrokkenheid van </w:t>
      </w:r>
      <w:proofErr w:type="spellStart"/>
      <w:r w:rsidRPr="00F07F9D">
        <w:t>BlackRock</w:t>
      </w:r>
      <w:proofErr w:type="spellEnd"/>
      <w:r w:rsidRPr="00F07F9D">
        <w:t xml:space="preserve"> bij bedrijven die bos- en mensenrechten schenden, ondanks </w:t>
      </w:r>
      <w:r>
        <w:t>de</w:t>
      </w:r>
      <w:r w:rsidRPr="00F07F9D">
        <w:t xml:space="preserve"> duurzaamheidspromoties (The </w:t>
      </w:r>
      <w:proofErr w:type="spellStart"/>
      <w:r w:rsidRPr="00F07F9D">
        <w:t>Guardian</w:t>
      </w:r>
      <w:proofErr w:type="spellEnd"/>
      <w:r w:rsidRPr="00F07F9D">
        <w:t>, 2024).</w:t>
      </w:r>
    </w:p>
    <w:p w14:paraId="225950CE" w14:textId="77777777" w:rsidR="00161DE2" w:rsidRPr="00F07F9D" w:rsidRDefault="00161DE2" w:rsidP="00161DE2">
      <w:pPr>
        <w:rPr>
          <w:b/>
          <w:bCs/>
        </w:rPr>
      </w:pPr>
      <w:proofErr w:type="spellStart"/>
      <w:r w:rsidRPr="00F07F9D">
        <w:rPr>
          <w:b/>
          <w:bCs/>
        </w:rPr>
        <w:t>Governance</w:t>
      </w:r>
      <w:proofErr w:type="spellEnd"/>
    </w:p>
    <w:p w14:paraId="577DBE8F" w14:textId="77777777" w:rsidR="00161DE2" w:rsidRPr="00F07F9D" w:rsidRDefault="00161DE2" w:rsidP="00161DE2">
      <w:proofErr w:type="spellStart"/>
      <w:r w:rsidRPr="00F07F9D">
        <w:t>BlackRock’s</w:t>
      </w:r>
      <w:proofErr w:type="spellEnd"/>
      <w:r w:rsidRPr="00F07F9D">
        <w:t xml:space="preserve"> </w:t>
      </w:r>
      <w:proofErr w:type="spellStart"/>
      <w:r w:rsidRPr="00F07F9D">
        <w:t>governance</w:t>
      </w:r>
      <w:proofErr w:type="spellEnd"/>
      <w:r w:rsidRPr="00F07F9D">
        <w:rPr>
          <w:rFonts w:ascii="Cambria Math" w:hAnsi="Cambria Math" w:cs="Cambria Math"/>
        </w:rPr>
        <w:t>‐</w:t>
      </w:r>
      <w:r w:rsidRPr="00F07F9D">
        <w:t xml:space="preserve">structuur is opgebouwd rond publiek rapportage (als beursgenoteerd bedrijf) en transparantie over bestuur en toezicht. Op de website geeft </w:t>
      </w:r>
      <w:proofErr w:type="spellStart"/>
      <w:r w:rsidRPr="00F07F9D">
        <w:t>BlackRock</w:t>
      </w:r>
      <w:proofErr w:type="spellEnd"/>
      <w:r w:rsidRPr="00F07F9D">
        <w:t xml:space="preserve"> aan dat diversiteit in de boardroom van belang is voor </w:t>
      </w:r>
      <w:proofErr w:type="spellStart"/>
      <w:r w:rsidRPr="00F07F9D">
        <w:t>waardecreatie</w:t>
      </w:r>
      <w:proofErr w:type="spellEnd"/>
      <w:r w:rsidRPr="00F07F9D">
        <w:t xml:space="preserve"> en </w:t>
      </w:r>
      <w:proofErr w:type="spellStart"/>
      <w:r w:rsidRPr="00F07F9D">
        <w:t>risico</w:t>
      </w:r>
      <w:r w:rsidRPr="00F07F9D">
        <w:rPr>
          <w:rFonts w:ascii="Cambria Math" w:hAnsi="Cambria Math" w:cs="Cambria Math"/>
        </w:rPr>
        <w:t>‐</w:t>
      </w:r>
      <w:r w:rsidRPr="00F07F9D">
        <w:t>beheersing</w:t>
      </w:r>
      <w:proofErr w:type="spellEnd"/>
      <w:r w:rsidRPr="00F07F9D">
        <w:t xml:space="preserve"> (</w:t>
      </w:r>
      <w:proofErr w:type="spellStart"/>
      <w:r w:rsidRPr="00F07F9D">
        <w:t>BlackRock</w:t>
      </w:r>
      <w:proofErr w:type="spellEnd"/>
      <w:r w:rsidRPr="00F07F9D">
        <w:t xml:space="preserve">, 2024). Ook worden verschillende </w:t>
      </w:r>
      <w:proofErr w:type="spellStart"/>
      <w:r w:rsidRPr="00F07F9D">
        <w:t>disclosure</w:t>
      </w:r>
      <w:proofErr w:type="spellEnd"/>
      <w:r w:rsidRPr="00F07F9D">
        <w:t xml:space="preserve"> documenten gepubliceerd, waaronder </w:t>
      </w:r>
      <w:proofErr w:type="spellStart"/>
      <w:r w:rsidRPr="00F07F9D">
        <w:t>klimaatreports</w:t>
      </w:r>
      <w:proofErr w:type="spellEnd"/>
      <w:r w:rsidRPr="00F07F9D">
        <w:t xml:space="preserve">, SASB/SFDR </w:t>
      </w:r>
      <w:proofErr w:type="spellStart"/>
      <w:r w:rsidRPr="00F07F9D">
        <w:t>disclosures</w:t>
      </w:r>
      <w:proofErr w:type="spellEnd"/>
      <w:r w:rsidRPr="00F07F9D">
        <w:t xml:space="preserve"> en stemgedrag verslagen.</w:t>
      </w:r>
    </w:p>
    <w:p w14:paraId="0E0457FB" w14:textId="77777777" w:rsidR="00161DE2" w:rsidRPr="00F07F9D" w:rsidRDefault="00161DE2" w:rsidP="00161DE2">
      <w:r w:rsidRPr="00F07F9D">
        <w:t xml:space="preserve">Daarnaast is </w:t>
      </w:r>
      <w:proofErr w:type="spellStart"/>
      <w:r w:rsidRPr="00F07F9D">
        <w:t>BlackRock</w:t>
      </w:r>
      <w:proofErr w:type="spellEnd"/>
      <w:r w:rsidRPr="00F07F9D">
        <w:t xml:space="preserve"> actief in haar rol als aandeelhouder: via haar stembeleid en engagement</w:t>
      </w:r>
      <w:r w:rsidRPr="00F07F9D">
        <w:rPr>
          <w:rFonts w:ascii="Cambria Math" w:hAnsi="Cambria Math" w:cs="Cambria Math"/>
        </w:rPr>
        <w:t>‐</w:t>
      </w:r>
      <w:r w:rsidRPr="00F07F9D">
        <w:t>beleid probeert zij invloed uit te oefenen op ondernemingen waarin zij investeert (</w:t>
      </w:r>
      <w:proofErr w:type="spellStart"/>
      <w:r w:rsidRPr="00F07F9D">
        <w:t>BlackRock</w:t>
      </w:r>
      <w:proofErr w:type="spellEnd"/>
      <w:r w:rsidRPr="00F07F9D">
        <w:t xml:space="preserve">, 2024). De </w:t>
      </w:r>
      <w:proofErr w:type="spellStart"/>
      <w:r w:rsidRPr="00F07F9D">
        <w:t>governance</w:t>
      </w:r>
      <w:proofErr w:type="spellEnd"/>
      <w:r w:rsidRPr="00F07F9D">
        <w:t xml:space="preserve"> van </w:t>
      </w:r>
      <w:proofErr w:type="spellStart"/>
      <w:r w:rsidRPr="00F07F9D">
        <w:t>BlackRock</w:t>
      </w:r>
      <w:proofErr w:type="spellEnd"/>
      <w:r w:rsidRPr="00F07F9D">
        <w:t xml:space="preserve"> zelf lijkt dus op het eerste gezicht goed ingericht.</w:t>
      </w:r>
    </w:p>
    <w:p w14:paraId="57AFFE77" w14:textId="77777777" w:rsidR="00161DE2" w:rsidRPr="00DB2CAC" w:rsidRDefault="00161DE2" w:rsidP="00161DE2">
      <w:r w:rsidRPr="00F07F9D">
        <w:t xml:space="preserve">Wel zijn er aandachtspunten: de enorme schaal en de wereldwijde aanwezigheid van </w:t>
      </w:r>
      <w:proofErr w:type="spellStart"/>
      <w:r w:rsidRPr="00F07F9D">
        <w:t>BlackRock</w:t>
      </w:r>
      <w:proofErr w:type="spellEnd"/>
      <w:r w:rsidRPr="00F07F9D">
        <w:t xml:space="preserve"> leiden tot hoge complexiteit in toezicht, beheer en transparantie. Critici wijzen op het feit dat </w:t>
      </w:r>
      <w:proofErr w:type="spellStart"/>
      <w:r w:rsidRPr="00F07F9D">
        <w:t>BlackRock</w:t>
      </w:r>
      <w:proofErr w:type="spellEnd"/>
      <w:r w:rsidRPr="00F07F9D">
        <w:t xml:space="preserve"> zowel passief (via indexfondsen) als actief optreedt, wat spanningen geeft in haar rol als vermogensbeheerder en toezichthouder tegelijkertijd</w:t>
      </w:r>
      <w:r>
        <w:t xml:space="preserve"> </w:t>
      </w:r>
      <w:r w:rsidRPr="00F07F9D">
        <w:t xml:space="preserve">(New </w:t>
      </w:r>
      <w:proofErr w:type="spellStart"/>
      <w:r w:rsidRPr="00F07F9D">
        <w:t>Statesman</w:t>
      </w:r>
      <w:proofErr w:type="spellEnd"/>
      <w:r w:rsidRPr="00F07F9D">
        <w:t xml:space="preserve">, 2024). </w:t>
      </w:r>
    </w:p>
    <w:p w14:paraId="15C2039C" w14:textId="77777777" w:rsidR="00161DE2" w:rsidRPr="00F07F9D" w:rsidRDefault="00161DE2" w:rsidP="00161DE2">
      <w:pPr>
        <w:rPr>
          <w:b/>
          <w:bCs/>
        </w:rPr>
      </w:pPr>
      <w:r w:rsidRPr="00F07F9D">
        <w:rPr>
          <w:b/>
          <w:bCs/>
        </w:rPr>
        <w:lastRenderedPageBreak/>
        <w:t>Bad Press en Controverses</w:t>
      </w:r>
    </w:p>
    <w:p w14:paraId="4F112C1F" w14:textId="77777777" w:rsidR="00161DE2" w:rsidRPr="00DB2CAC" w:rsidRDefault="00161DE2" w:rsidP="00161DE2">
      <w:proofErr w:type="spellStart"/>
      <w:r w:rsidRPr="00DB2CAC">
        <w:t>BlackRock</w:t>
      </w:r>
      <w:proofErr w:type="spellEnd"/>
      <w:r w:rsidRPr="00DB2CAC">
        <w:t xml:space="preserve"> is meerdere keren onderwerp geweest van negatieve publiciteit, met impact op haar reputatie als vermogensbeheerder. Een aantal belangrijke voorbeelden:</w:t>
      </w:r>
    </w:p>
    <w:p w14:paraId="60D680CB" w14:textId="77777777" w:rsidR="00161DE2" w:rsidRPr="00DB2CAC" w:rsidRDefault="00161DE2" w:rsidP="00161DE2">
      <w:r w:rsidRPr="00DB2CAC">
        <w:t xml:space="preserve">In 2024 diende de </w:t>
      </w:r>
      <w:proofErr w:type="spellStart"/>
      <w:r w:rsidRPr="00DB2CAC">
        <w:t>ClientEarth</w:t>
      </w:r>
      <w:proofErr w:type="spellEnd"/>
      <w:r w:rsidRPr="00DB2CAC">
        <w:t xml:space="preserve"> een klacht in bij de Franse autoriteiten wegens mogelijke greenwashing: </w:t>
      </w:r>
      <w:proofErr w:type="spellStart"/>
      <w:r w:rsidRPr="00DB2CAC">
        <w:t>BlackRock</w:t>
      </w:r>
      <w:proofErr w:type="spellEnd"/>
      <w:r w:rsidRPr="00DB2CAC">
        <w:t xml:space="preserve"> zou “duurzame” fondsen promoten terwijl deze nog miljarden dollars in fossiele brandstofbedrijven investeerden</w:t>
      </w:r>
      <w:r>
        <w:t xml:space="preserve"> </w:t>
      </w:r>
      <w:r w:rsidRPr="00DB2CAC">
        <w:t>(</w:t>
      </w:r>
      <w:proofErr w:type="spellStart"/>
      <w:r w:rsidRPr="00DB2CAC">
        <w:t>ClientEarth</w:t>
      </w:r>
      <w:proofErr w:type="spellEnd"/>
      <w:r w:rsidRPr="00DB2CAC">
        <w:t>, 2024).</w:t>
      </w:r>
    </w:p>
    <w:p w14:paraId="2017DC4A" w14:textId="77777777" w:rsidR="00161DE2" w:rsidRPr="00DB2CAC" w:rsidRDefault="00161DE2" w:rsidP="00161DE2">
      <w:r w:rsidRPr="00DB2CAC">
        <w:t xml:space="preserve">In de staat Tennessee (VS) kwam </w:t>
      </w:r>
      <w:proofErr w:type="spellStart"/>
      <w:r w:rsidRPr="00DB2CAC">
        <w:t>BlackRock</w:t>
      </w:r>
      <w:proofErr w:type="spellEnd"/>
      <w:r w:rsidRPr="00DB2CAC">
        <w:t xml:space="preserve"> overeen met een schikking in januari 2025 wegens onvoldoende transparantie over haar gebruik van ESG</w:t>
      </w:r>
      <w:r w:rsidRPr="00DB2CAC">
        <w:rPr>
          <w:rFonts w:ascii="Cambria Math" w:hAnsi="Cambria Math" w:cs="Cambria Math"/>
        </w:rPr>
        <w:t>‐</w:t>
      </w:r>
      <w:r w:rsidRPr="00DB2CAC">
        <w:t xml:space="preserve">factoren in beleggingsbeslissingen en proxy </w:t>
      </w:r>
      <w:proofErr w:type="spellStart"/>
      <w:r w:rsidRPr="00DB2CAC">
        <w:t>voting</w:t>
      </w:r>
      <w:proofErr w:type="spellEnd"/>
      <w:r>
        <w:t xml:space="preserve"> </w:t>
      </w:r>
      <w:r w:rsidRPr="00DB2CAC">
        <w:t>(Reuters, 2025).</w:t>
      </w:r>
    </w:p>
    <w:p w14:paraId="4E6AD5FA" w14:textId="77777777" w:rsidR="00161DE2" w:rsidRPr="00DB2CAC" w:rsidRDefault="00161DE2" w:rsidP="00161DE2">
      <w:r w:rsidRPr="00DB2CAC">
        <w:t xml:space="preserve">Ngo-onderzoek toonde aan dat </w:t>
      </w:r>
      <w:proofErr w:type="spellStart"/>
      <w:r w:rsidRPr="00DB2CAC">
        <w:t>BlackRock</w:t>
      </w:r>
      <w:proofErr w:type="spellEnd"/>
      <w:r w:rsidRPr="00DB2CAC">
        <w:t xml:space="preserve"> tussen 2019 en 2024 aanzienlijk haar beleggingen in </w:t>
      </w:r>
      <w:proofErr w:type="spellStart"/>
      <w:r w:rsidRPr="00DB2CAC">
        <w:t>agribusinessbedrijven</w:t>
      </w:r>
      <w:proofErr w:type="spellEnd"/>
      <w:r w:rsidRPr="00DB2CAC">
        <w:t xml:space="preserve"> met problemen op gebied van ontbossing en mensenrechten heeft verhoogd, terwijl zij claimt duurzaamheid te bevorderen (The </w:t>
      </w:r>
      <w:proofErr w:type="spellStart"/>
      <w:r w:rsidRPr="00DB2CAC">
        <w:t>Guardian</w:t>
      </w:r>
      <w:proofErr w:type="spellEnd"/>
      <w:r w:rsidRPr="00DB2CAC">
        <w:t>, 2024).</w:t>
      </w:r>
    </w:p>
    <w:p w14:paraId="739FC284" w14:textId="77777777" w:rsidR="00161DE2" w:rsidRPr="00DB2CAC" w:rsidRDefault="00161DE2" w:rsidP="00161DE2">
      <w:r w:rsidRPr="00DB2CAC">
        <w:t xml:space="preserve">Verder trok </w:t>
      </w:r>
      <w:proofErr w:type="spellStart"/>
      <w:r w:rsidRPr="00DB2CAC">
        <w:t>BlackRock</w:t>
      </w:r>
      <w:proofErr w:type="spellEnd"/>
      <w:r w:rsidRPr="00DB2CAC">
        <w:t xml:space="preserve"> zich in januari 2025 terug uit de door ESG gedreven coalitie Net Zero Asset Managers </w:t>
      </w:r>
      <w:proofErr w:type="spellStart"/>
      <w:r w:rsidRPr="00DB2CAC">
        <w:t>Initiative</w:t>
      </w:r>
      <w:proofErr w:type="spellEnd"/>
      <w:r w:rsidRPr="00DB2CAC">
        <w:t>, wat door critici werd gezien als een stap terug in klimaatambitie</w:t>
      </w:r>
      <w:r>
        <w:t xml:space="preserve"> </w:t>
      </w:r>
      <w:r w:rsidRPr="00DB2CAC">
        <w:t>(Reuters, 2025).</w:t>
      </w:r>
    </w:p>
    <w:p w14:paraId="52F634F8" w14:textId="77777777" w:rsidR="00161DE2" w:rsidRPr="00C1726C" w:rsidRDefault="00161DE2" w:rsidP="00161DE2">
      <w:pPr>
        <w:rPr>
          <w:b/>
          <w:bCs/>
        </w:rPr>
      </w:pPr>
      <w:r w:rsidRPr="00DB2CAC">
        <w:rPr>
          <w:b/>
          <w:bCs/>
        </w:rPr>
        <w:t>Conclusie</w:t>
      </w:r>
    </w:p>
    <w:p w14:paraId="4A5AE10A" w14:textId="77777777" w:rsidR="00161DE2" w:rsidRPr="00DB2CAC" w:rsidRDefault="00161DE2" w:rsidP="00161DE2">
      <w:r w:rsidRPr="00DB2CAC">
        <w:t xml:space="preserve">De analyse van </w:t>
      </w:r>
      <w:proofErr w:type="spellStart"/>
      <w:r w:rsidRPr="00DB2CAC">
        <w:t>BlackRock</w:t>
      </w:r>
      <w:proofErr w:type="spellEnd"/>
      <w:r w:rsidRPr="00DB2CAC">
        <w:t xml:space="preserve"> laat zien dat dit ’s werelds grootste vermogensbeheerder een geavanceerd ESG- en </w:t>
      </w:r>
      <w:proofErr w:type="spellStart"/>
      <w:r w:rsidRPr="00DB2CAC">
        <w:t>governance</w:t>
      </w:r>
      <w:proofErr w:type="spellEnd"/>
      <w:r w:rsidRPr="00DB2CAC">
        <w:t>-kader hanteert en daarmee veel kracht heeft opgebouwd. Tegelijkertijd toont de praktijk aan dat consistentie en geloofwaardigheid aandacht nodig hebben: teruglopende steun voor ESG</w:t>
      </w:r>
      <w:r w:rsidRPr="00DB2CAC">
        <w:rPr>
          <w:rFonts w:ascii="Cambria Math" w:hAnsi="Cambria Math" w:cs="Cambria Math"/>
        </w:rPr>
        <w:t>‐</w:t>
      </w:r>
      <w:r w:rsidRPr="00DB2CAC">
        <w:t xml:space="preserve">voorstellen, juridische klachten en reputatievraagstukken laten zien dat beleid en uitvoering soms uiteenlopen.  </w:t>
      </w:r>
      <w:proofErr w:type="spellStart"/>
      <w:r w:rsidRPr="00DB2CAC">
        <w:t>BlackRock</w:t>
      </w:r>
      <w:proofErr w:type="spellEnd"/>
      <w:r w:rsidRPr="00DB2CAC">
        <w:t xml:space="preserve"> </w:t>
      </w:r>
      <w:r>
        <w:t xml:space="preserve">is </w:t>
      </w:r>
      <w:r w:rsidRPr="00DB2CAC">
        <w:t xml:space="preserve">dus een interessant voorbeeld van grote speler met goede papieren, maar uitvoering blijft </w:t>
      </w:r>
      <w:r>
        <w:t>soms merkwaarding</w:t>
      </w:r>
      <w:r w:rsidRPr="00DB2CAC">
        <w:t xml:space="preserve">. </w:t>
      </w:r>
    </w:p>
    <w:p w14:paraId="1B781966" w14:textId="77777777" w:rsidR="00161DE2" w:rsidRDefault="00161DE2" w:rsidP="00161DE2">
      <w:pPr>
        <w:rPr>
          <w:b/>
          <w:bCs/>
        </w:rPr>
      </w:pPr>
    </w:p>
    <w:p w14:paraId="69730C95" w14:textId="77777777" w:rsidR="00161DE2" w:rsidRDefault="00161DE2" w:rsidP="00161DE2">
      <w:pPr>
        <w:rPr>
          <w:b/>
          <w:bCs/>
        </w:rPr>
      </w:pPr>
    </w:p>
    <w:p w14:paraId="7DB6A89C" w14:textId="77777777" w:rsidR="00161DE2" w:rsidRDefault="00161DE2" w:rsidP="00161DE2">
      <w:pPr>
        <w:rPr>
          <w:b/>
          <w:bCs/>
        </w:rPr>
      </w:pPr>
    </w:p>
    <w:p w14:paraId="636F6BDF" w14:textId="77777777" w:rsidR="00161DE2" w:rsidRDefault="00161DE2" w:rsidP="00161DE2">
      <w:pPr>
        <w:rPr>
          <w:b/>
          <w:bCs/>
        </w:rPr>
      </w:pPr>
    </w:p>
    <w:p w14:paraId="448A25F3" w14:textId="77777777" w:rsidR="00161DE2" w:rsidRDefault="00161DE2" w:rsidP="00161DE2">
      <w:pPr>
        <w:rPr>
          <w:b/>
          <w:bCs/>
        </w:rPr>
      </w:pPr>
    </w:p>
    <w:p w14:paraId="02DEB040" w14:textId="77777777" w:rsidR="00161DE2" w:rsidRDefault="00161DE2" w:rsidP="00161DE2">
      <w:pPr>
        <w:rPr>
          <w:b/>
          <w:bCs/>
        </w:rPr>
      </w:pPr>
    </w:p>
    <w:p w14:paraId="341C39FA" w14:textId="77777777" w:rsidR="00161DE2" w:rsidRDefault="00161DE2" w:rsidP="00161DE2">
      <w:pPr>
        <w:rPr>
          <w:b/>
          <w:bCs/>
        </w:rPr>
      </w:pPr>
    </w:p>
    <w:p w14:paraId="39E9048A" w14:textId="77777777" w:rsidR="00161DE2" w:rsidRDefault="00161DE2" w:rsidP="00161DE2">
      <w:pPr>
        <w:rPr>
          <w:b/>
          <w:bCs/>
        </w:rPr>
      </w:pPr>
    </w:p>
    <w:p w14:paraId="3B5FEF03" w14:textId="77777777" w:rsidR="00161DE2" w:rsidRDefault="00161DE2" w:rsidP="00161DE2">
      <w:pPr>
        <w:rPr>
          <w:b/>
          <w:bCs/>
        </w:rPr>
      </w:pPr>
    </w:p>
    <w:p w14:paraId="6A610780" w14:textId="77777777" w:rsidR="00161DE2" w:rsidRDefault="00161DE2" w:rsidP="00161DE2">
      <w:pPr>
        <w:rPr>
          <w:b/>
          <w:bCs/>
        </w:rPr>
      </w:pPr>
      <w:r>
        <w:rPr>
          <w:b/>
          <w:bCs/>
        </w:rPr>
        <w:lastRenderedPageBreak/>
        <w:t>Resultaat beslissingsmatrix</w:t>
      </w:r>
    </w:p>
    <w:p w14:paraId="2769A94B" w14:textId="77777777" w:rsidR="00161DE2" w:rsidRDefault="00161DE2" w:rsidP="00161DE2">
      <w:pPr>
        <w:rPr>
          <w:b/>
          <w:bCs/>
        </w:rPr>
      </w:pPr>
      <w:r w:rsidRPr="00646B3A">
        <w:rPr>
          <w:b/>
          <w:bCs/>
          <w:noProof/>
        </w:rPr>
        <w:drawing>
          <wp:inline distT="0" distB="0" distL="0" distR="0" wp14:anchorId="3BD4EB16" wp14:editId="567F9965">
            <wp:extent cx="5334744" cy="1381318"/>
            <wp:effectExtent l="0" t="0" r="0" b="9525"/>
            <wp:docPr id="1459998143"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998143" name="Afbeelding 1" descr="Afbeelding met tekst, schermopname, Lettertype, nummer&#10;&#10;Door AI gegenereerde inhoud is mogelijk onjuist."/>
                    <pic:cNvPicPr/>
                  </pic:nvPicPr>
                  <pic:blipFill>
                    <a:blip r:embed="rId5"/>
                    <a:stretch>
                      <a:fillRect/>
                    </a:stretch>
                  </pic:blipFill>
                  <pic:spPr>
                    <a:xfrm>
                      <a:off x="0" y="0"/>
                      <a:ext cx="5334744" cy="1381318"/>
                    </a:xfrm>
                    <a:prstGeom prst="rect">
                      <a:avLst/>
                    </a:prstGeom>
                  </pic:spPr>
                </pic:pic>
              </a:graphicData>
            </a:graphic>
          </wp:inline>
        </w:drawing>
      </w:r>
    </w:p>
    <w:p w14:paraId="1B907C63" w14:textId="77777777" w:rsidR="00161DE2" w:rsidRDefault="00161DE2" w:rsidP="00161DE2">
      <w:pPr>
        <w:rPr>
          <w:b/>
          <w:bCs/>
        </w:rPr>
      </w:pPr>
    </w:p>
    <w:p w14:paraId="1100A926" w14:textId="77777777" w:rsidR="00161DE2" w:rsidRPr="00F52D20" w:rsidRDefault="00161DE2" w:rsidP="00161DE2">
      <w:r w:rsidRPr="00F52D20">
        <w:t xml:space="preserve">Wij hebben voor </w:t>
      </w:r>
      <w:r>
        <w:t xml:space="preserve">een 40/40/20 verdeling gekozen. Dit omdat we bij </w:t>
      </w:r>
      <w:proofErr w:type="spellStart"/>
      <w:r>
        <w:t>HuisjeBoompjeBeleggen</w:t>
      </w:r>
      <w:proofErr w:type="spellEnd"/>
      <w:r>
        <w:t xml:space="preserve"> waarde hechten aan duurzaamheid en </w:t>
      </w:r>
      <w:proofErr w:type="spellStart"/>
      <w:r>
        <w:t>tergelijk</w:t>
      </w:r>
      <w:proofErr w:type="spellEnd"/>
      <w:r>
        <w:t xml:space="preserve"> is het voor ons belangrijk dat </w:t>
      </w:r>
      <w:proofErr w:type="spellStart"/>
      <w:r>
        <w:t>governance</w:t>
      </w:r>
      <w:proofErr w:type="spellEnd"/>
      <w:r>
        <w:t xml:space="preserve"> op orde is bij de aanbieders. Uiteraard speelt bad </w:t>
      </w:r>
      <w:proofErr w:type="spellStart"/>
      <w:r>
        <w:t>press</w:t>
      </w:r>
      <w:proofErr w:type="spellEnd"/>
      <w:r>
        <w:t xml:space="preserve"> ook een rol, dit beoordelen wij alleen op basis van de ernst van de zaak. Bij elke partij kan er wel eens wat voorkomen, dit is niet altijd even ernstig. Op basis daarvan hebben wij de </w:t>
      </w:r>
      <w:proofErr w:type="spellStart"/>
      <w:r>
        <w:t>bevenstaande</w:t>
      </w:r>
      <w:proofErr w:type="spellEnd"/>
      <w:r>
        <w:t xml:space="preserve"> matrix opgesteld. Dit zal verder toegelicht worden.</w:t>
      </w:r>
    </w:p>
    <w:p w14:paraId="6165DFB5" w14:textId="77777777" w:rsidR="00161DE2" w:rsidRPr="008959EE" w:rsidRDefault="00161DE2" w:rsidP="00161DE2">
      <w:proofErr w:type="spellStart"/>
      <w:r w:rsidRPr="008959EE">
        <w:t>Fidelity</w:t>
      </w:r>
      <w:proofErr w:type="spellEnd"/>
      <w:r w:rsidRPr="008959EE">
        <w:t xml:space="preserve"> scoort redelijk: het heeft een degelijk ESG-beleid, maar de toepassing is beperkt en er waren meerdere incidenten, wat het totaalcijfer </w:t>
      </w:r>
      <w:r>
        <w:t>naar beneden haalt</w:t>
      </w:r>
      <w:r w:rsidRPr="008959EE">
        <w:t>.</w:t>
      </w:r>
    </w:p>
    <w:p w14:paraId="1C4418D8" w14:textId="77777777" w:rsidR="00161DE2" w:rsidRPr="008959EE" w:rsidRDefault="00161DE2" w:rsidP="00161DE2">
      <w:r w:rsidRPr="008959EE">
        <w:t xml:space="preserve">Allianz presteert sterk op duurzaamheid en </w:t>
      </w:r>
      <w:proofErr w:type="spellStart"/>
      <w:r w:rsidRPr="008959EE">
        <w:t>governance</w:t>
      </w:r>
      <w:proofErr w:type="spellEnd"/>
      <w:r w:rsidRPr="008959EE">
        <w:t xml:space="preserve"> dankzij duidelijke kaders en transparante rapportage, maar reputatieschade door eerdere schandalen verlaagt het </w:t>
      </w:r>
      <w:r>
        <w:t>cijfer</w:t>
      </w:r>
      <w:r w:rsidRPr="008959EE">
        <w:t xml:space="preserve"> iets.</w:t>
      </w:r>
    </w:p>
    <w:p w14:paraId="7B79D422" w14:textId="77777777" w:rsidR="00161DE2" w:rsidRPr="008959EE" w:rsidRDefault="00161DE2" w:rsidP="00161DE2">
      <w:proofErr w:type="spellStart"/>
      <w:r w:rsidRPr="008959EE">
        <w:t>Vanguard</w:t>
      </w:r>
      <w:proofErr w:type="spellEnd"/>
      <w:r w:rsidRPr="008959EE">
        <w:t xml:space="preserve"> blijft achter doordat ESG vooral financieel wordt benaderd en weinig actief wordt toegepast; </w:t>
      </w:r>
      <w:proofErr w:type="spellStart"/>
      <w:r w:rsidRPr="008959EE">
        <w:t>governance</w:t>
      </w:r>
      <w:proofErr w:type="spellEnd"/>
      <w:r w:rsidRPr="008959EE">
        <w:t xml:space="preserve"> is stabiel, maar de reputatie kreeg klappen door boetes en greenwashing-kritiek.</w:t>
      </w:r>
    </w:p>
    <w:p w14:paraId="0BCC0900" w14:textId="77777777" w:rsidR="00161DE2" w:rsidRPr="008959EE" w:rsidRDefault="00161DE2" w:rsidP="00161DE2">
      <w:r w:rsidRPr="008959EE">
        <w:t>Black</w:t>
      </w:r>
      <w:r>
        <w:t>r</w:t>
      </w:r>
      <w:r w:rsidRPr="008959EE">
        <w:t xml:space="preserve">ock is de sterkste van de vier met een uitgebreid ESG- en </w:t>
      </w:r>
      <w:proofErr w:type="spellStart"/>
      <w:r w:rsidRPr="008959EE">
        <w:t>governance</w:t>
      </w:r>
      <w:proofErr w:type="spellEnd"/>
      <w:r w:rsidRPr="008959EE">
        <w:t>-raamwerk, al zorgt politieke en maatschappelijke controverse voor een iets lagere score bij reputatie.</w:t>
      </w:r>
    </w:p>
    <w:p w14:paraId="2D82072A" w14:textId="77777777" w:rsidR="00161DE2" w:rsidRDefault="00161DE2" w:rsidP="00161DE2">
      <w:pPr>
        <w:rPr>
          <w:b/>
          <w:bCs/>
        </w:rPr>
      </w:pPr>
    </w:p>
    <w:p w14:paraId="705998A4" w14:textId="77777777" w:rsidR="00161DE2" w:rsidRDefault="00161DE2" w:rsidP="00161DE2">
      <w:pPr>
        <w:rPr>
          <w:b/>
          <w:bCs/>
        </w:rPr>
      </w:pPr>
      <w:r>
        <w:rPr>
          <w:b/>
          <w:bCs/>
        </w:rPr>
        <w:t>Top 3 vermogensbeheerders</w:t>
      </w:r>
    </w:p>
    <w:p w14:paraId="3841C93C" w14:textId="77777777" w:rsidR="00161DE2" w:rsidRDefault="00161DE2" w:rsidP="00161DE2">
      <w:r>
        <w:t>Uit de analyse van het team is de top 3 van vermogensbeheerders als volgt:</w:t>
      </w:r>
    </w:p>
    <w:p w14:paraId="4ED1CDCD" w14:textId="77777777" w:rsidR="00161DE2" w:rsidRDefault="00161DE2" w:rsidP="00161DE2">
      <w:pPr>
        <w:pStyle w:val="Lijstalinea"/>
        <w:numPr>
          <w:ilvl w:val="0"/>
          <w:numId w:val="2"/>
        </w:numPr>
      </w:pPr>
      <w:proofErr w:type="spellStart"/>
      <w:r>
        <w:t>BlackRock</w:t>
      </w:r>
      <w:proofErr w:type="spellEnd"/>
    </w:p>
    <w:p w14:paraId="61D1047E" w14:textId="77777777" w:rsidR="00161DE2" w:rsidRDefault="00161DE2" w:rsidP="00161DE2">
      <w:pPr>
        <w:pStyle w:val="Lijstalinea"/>
        <w:numPr>
          <w:ilvl w:val="0"/>
          <w:numId w:val="2"/>
        </w:numPr>
      </w:pPr>
      <w:r>
        <w:t>Robeco</w:t>
      </w:r>
    </w:p>
    <w:p w14:paraId="2AA63981" w14:textId="77777777" w:rsidR="00161DE2" w:rsidRDefault="00161DE2" w:rsidP="00161DE2">
      <w:pPr>
        <w:pStyle w:val="Lijstalinea"/>
        <w:numPr>
          <w:ilvl w:val="0"/>
          <w:numId w:val="2"/>
        </w:numPr>
      </w:pPr>
      <w:r>
        <w:t xml:space="preserve">ASN impact </w:t>
      </w:r>
      <w:proofErr w:type="spellStart"/>
      <w:r>
        <w:t>investors</w:t>
      </w:r>
      <w:proofErr w:type="spellEnd"/>
    </w:p>
    <w:p w14:paraId="45F8DAA3" w14:textId="77777777" w:rsidR="00161DE2" w:rsidRDefault="00161DE2" w:rsidP="00161DE2"/>
    <w:p w14:paraId="76E871B5" w14:textId="77777777" w:rsidR="00161DE2" w:rsidRDefault="00161DE2" w:rsidP="00161DE2">
      <w:r>
        <w:t>In de volgende stap zullen we fondsen van de vermogensbeheerders gaan vergelijken. In dit onderdeel zal ik de duurzame obligatiefondsen gaan vergelijken.</w:t>
      </w:r>
    </w:p>
    <w:p w14:paraId="4E5F2C6E" w14:textId="77777777" w:rsidR="00161DE2" w:rsidRPr="00C42D25" w:rsidRDefault="00161DE2" w:rsidP="00161DE2">
      <w:pPr>
        <w:rPr>
          <w:b/>
          <w:bCs/>
          <w:sz w:val="32"/>
          <w:szCs w:val="32"/>
        </w:rPr>
      </w:pPr>
      <w:r w:rsidRPr="00C42D25">
        <w:rPr>
          <w:b/>
          <w:bCs/>
          <w:sz w:val="32"/>
          <w:szCs w:val="32"/>
        </w:rPr>
        <w:lastRenderedPageBreak/>
        <w:t>Vergelijking duurzame obligatiefondsen</w:t>
      </w:r>
    </w:p>
    <w:p w14:paraId="34386595" w14:textId="77777777" w:rsidR="00161DE2" w:rsidRDefault="00161DE2" w:rsidP="00161DE2">
      <w:r>
        <w:t>De fondsen die geanalyseerd zullen worden zijn per vermogensbeheerder uitgezocht. Deze zullen daarna geanalyseerd worden.</w:t>
      </w:r>
    </w:p>
    <w:p w14:paraId="729DD500" w14:textId="77777777" w:rsidR="00161DE2" w:rsidRPr="005C6D58" w:rsidRDefault="00161DE2" w:rsidP="00161DE2">
      <w:pPr>
        <w:pStyle w:val="Lijstalinea"/>
        <w:numPr>
          <w:ilvl w:val="0"/>
          <w:numId w:val="3"/>
        </w:numPr>
        <w:rPr>
          <w:lang w:val="en-US"/>
        </w:rPr>
      </w:pPr>
      <w:r w:rsidRPr="005C6D58">
        <w:rPr>
          <w:lang w:val="en-US"/>
        </w:rPr>
        <w:t>BlackRock: iShares Global Aggregate Bond ESG SRI UCITS ETF</w:t>
      </w:r>
      <w:r>
        <w:rPr>
          <w:lang w:val="en-US"/>
        </w:rPr>
        <w:t xml:space="preserve"> </w:t>
      </w:r>
      <w:r w:rsidRPr="0089404E">
        <w:rPr>
          <w:lang w:val="en-US"/>
        </w:rPr>
        <w:t>IE000U6US1Q0</w:t>
      </w:r>
    </w:p>
    <w:p w14:paraId="2C0152F8" w14:textId="77777777" w:rsidR="00161DE2" w:rsidRPr="005C6D58" w:rsidRDefault="00161DE2" w:rsidP="00161DE2">
      <w:pPr>
        <w:pStyle w:val="Lijstalinea"/>
        <w:numPr>
          <w:ilvl w:val="0"/>
          <w:numId w:val="3"/>
        </w:numPr>
        <w:rPr>
          <w:lang w:val="en-US"/>
        </w:rPr>
      </w:pPr>
      <w:r w:rsidRPr="005C6D58">
        <w:rPr>
          <w:lang w:val="en-US"/>
        </w:rPr>
        <w:t>Robeco: Robeco Sustainable Global Bds DH EUR Acc LU2885076518</w:t>
      </w:r>
    </w:p>
    <w:p w14:paraId="49D8B236" w14:textId="77777777" w:rsidR="00161DE2" w:rsidRPr="000A44B4" w:rsidRDefault="00161DE2" w:rsidP="00161DE2">
      <w:pPr>
        <w:pStyle w:val="Lijstalinea"/>
        <w:numPr>
          <w:ilvl w:val="0"/>
          <w:numId w:val="3"/>
        </w:numPr>
      </w:pPr>
      <w:r>
        <w:t xml:space="preserve">ASN impact </w:t>
      </w:r>
      <w:proofErr w:type="spellStart"/>
      <w:r>
        <w:t>investors</w:t>
      </w:r>
      <w:proofErr w:type="spellEnd"/>
      <w:r>
        <w:t xml:space="preserve">: </w:t>
      </w:r>
      <w:r w:rsidRPr="000A44B4">
        <w:t>ASN Duurzaam Obligatiefonds R NL0014270209</w:t>
      </w:r>
    </w:p>
    <w:p w14:paraId="19398B59" w14:textId="77777777" w:rsidR="00161DE2" w:rsidRPr="006A5418" w:rsidRDefault="00161DE2" w:rsidP="00161DE2">
      <w:pPr>
        <w:pStyle w:val="Lijstalinea"/>
      </w:pPr>
    </w:p>
    <w:p w14:paraId="4FA3A4FB" w14:textId="77777777" w:rsidR="00161DE2" w:rsidRPr="0089404E" w:rsidRDefault="00161DE2" w:rsidP="00161DE2">
      <w:pPr>
        <w:rPr>
          <w:b/>
          <w:bCs/>
          <w:sz w:val="28"/>
          <w:szCs w:val="28"/>
          <w:lang w:val="en-US"/>
        </w:rPr>
      </w:pPr>
      <w:r w:rsidRPr="004131A7">
        <w:rPr>
          <w:b/>
          <w:bCs/>
          <w:sz w:val="28"/>
          <w:szCs w:val="28"/>
          <w:lang w:val="en-US"/>
        </w:rPr>
        <w:t xml:space="preserve">BlackRock: </w:t>
      </w:r>
      <w:r w:rsidRPr="0089404E">
        <w:rPr>
          <w:b/>
          <w:bCs/>
          <w:sz w:val="28"/>
          <w:szCs w:val="28"/>
          <w:lang w:val="en-US"/>
        </w:rPr>
        <w:t>iShares Global Aggregate Bond ESG SRI UCITS ETF</w:t>
      </w:r>
      <w:r w:rsidRPr="004131A7">
        <w:rPr>
          <w:b/>
          <w:bCs/>
          <w:sz w:val="28"/>
          <w:szCs w:val="28"/>
          <w:lang w:val="en-US"/>
        </w:rPr>
        <w:t xml:space="preserve"> </w:t>
      </w:r>
      <w:r w:rsidRPr="0089404E">
        <w:rPr>
          <w:b/>
          <w:bCs/>
          <w:sz w:val="28"/>
          <w:szCs w:val="28"/>
          <w:lang w:val="en-US"/>
        </w:rPr>
        <w:t>IE000U6US1Q0</w:t>
      </w:r>
    </w:p>
    <w:p w14:paraId="53FD0E3E" w14:textId="77777777" w:rsidR="00161DE2" w:rsidRPr="00587C08" w:rsidRDefault="00161DE2" w:rsidP="00161DE2">
      <w:pPr>
        <w:rPr>
          <w:b/>
          <w:bCs/>
        </w:rPr>
      </w:pPr>
      <w:r w:rsidRPr="00587C08">
        <w:rPr>
          <w:b/>
          <w:bCs/>
        </w:rPr>
        <w:t>1. Communicatie van de beleggingsstrategie (10%)</w:t>
      </w:r>
    </w:p>
    <w:p w14:paraId="2E18514B" w14:textId="77777777" w:rsidR="00161DE2" w:rsidRDefault="00161DE2" w:rsidP="00161DE2">
      <w:r w:rsidRPr="00587C08">
        <w:t xml:space="preserve">De strategie van het </w:t>
      </w:r>
      <w:proofErr w:type="spellStart"/>
      <w:r w:rsidRPr="00587C08">
        <w:t>iShares</w:t>
      </w:r>
      <w:proofErr w:type="spellEnd"/>
      <w:r w:rsidRPr="00587C08">
        <w:t xml:space="preserve"> Global </w:t>
      </w:r>
      <w:proofErr w:type="spellStart"/>
      <w:r w:rsidRPr="00587C08">
        <w:t>Aggregate</w:t>
      </w:r>
      <w:proofErr w:type="spellEnd"/>
      <w:r w:rsidRPr="00587C08">
        <w:t xml:space="preserve"> Bond ESG SRI UCITS ETF wordt uitgelegd door </w:t>
      </w:r>
      <w:proofErr w:type="spellStart"/>
      <w:r w:rsidRPr="00587C08">
        <w:t>BlackRock</w:t>
      </w:r>
      <w:proofErr w:type="spellEnd"/>
      <w:r w:rsidRPr="00587C08">
        <w:t xml:space="preserve">. Het fonds volgt de </w:t>
      </w:r>
      <w:proofErr w:type="spellStart"/>
      <w:r w:rsidRPr="00587C08">
        <w:t>Bloomberg</w:t>
      </w:r>
      <w:proofErr w:type="spellEnd"/>
      <w:r w:rsidRPr="00587C08">
        <w:t xml:space="preserve"> MSCI Global </w:t>
      </w:r>
      <w:proofErr w:type="spellStart"/>
      <w:r w:rsidRPr="00587C08">
        <w:t>Aggregate</w:t>
      </w:r>
      <w:proofErr w:type="spellEnd"/>
      <w:r w:rsidRPr="00587C08">
        <w:t xml:space="preserve"> Green Bond ESG SRI Index, </w:t>
      </w:r>
      <w:r>
        <w:t>dat is een</w:t>
      </w:r>
      <w:r w:rsidRPr="00587C08">
        <w:t xml:space="preserve"> wereldwijde index die alleen obligaties bevat die voldoen aan strenge duurzaamheidscriteria (</w:t>
      </w:r>
      <w:proofErr w:type="spellStart"/>
      <w:r w:rsidRPr="00587C08">
        <w:t>BlackRock</w:t>
      </w:r>
      <w:proofErr w:type="spellEnd"/>
      <w:r w:rsidRPr="00587C08">
        <w:t xml:space="preserve">, 2025). Op de </w:t>
      </w:r>
      <w:proofErr w:type="spellStart"/>
      <w:r w:rsidRPr="00587C08">
        <w:t>iShares</w:t>
      </w:r>
      <w:proofErr w:type="spellEnd"/>
      <w:r w:rsidRPr="00587C08">
        <w:t xml:space="preserve">-website staat </w:t>
      </w:r>
      <w:r>
        <w:t>duidelijk</w:t>
      </w:r>
      <w:r w:rsidRPr="00587C08">
        <w:t xml:space="preserve"> beschreven dat het fonds wereldwijd belegt in investment-</w:t>
      </w:r>
      <w:proofErr w:type="spellStart"/>
      <w:r w:rsidRPr="00587C08">
        <w:t>grade</w:t>
      </w:r>
      <w:proofErr w:type="spellEnd"/>
      <w:r w:rsidRPr="00587C08">
        <w:t xml:space="preserve"> staats- en bedrijfsobligaties, en dat de index passief wordt gevolgd door middel van een index-tracking-strategie (</w:t>
      </w:r>
      <w:proofErr w:type="spellStart"/>
      <w:r w:rsidRPr="00587C08">
        <w:t>iShares</w:t>
      </w:r>
      <w:proofErr w:type="spellEnd"/>
      <w:r w:rsidRPr="00587C08">
        <w:t>, 2025).</w:t>
      </w:r>
    </w:p>
    <w:p w14:paraId="75F36BE1" w14:textId="77777777" w:rsidR="00161DE2" w:rsidRPr="00587C08" w:rsidRDefault="00161DE2" w:rsidP="00161DE2">
      <w:r>
        <w:t>D</w:t>
      </w:r>
      <w:r w:rsidRPr="00587C08">
        <w:t xml:space="preserve">e ESG-criteria duidelijk worden genoemd en beleggers precies kunnen zien welke duurzaamheidsdoelen de index nastreeft. Tegelijkertijd wordt er weinig verteld over individuele keuzes. Bijvoorbeeld waarom bepaalde obligaties precies in de portefeuille zitten of waarom specifieke obligaties zijn verwijderd. Dat zorgt voor minder </w:t>
      </w:r>
      <w:r>
        <w:t>transparantie</w:t>
      </w:r>
      <w:r w:rsidRPr="00587C08">
        <w:t>, maar dit hoort bij een passieve strategie.</w:t>
      </w:r>
    </w:p>
    <w:p w14:paraId="167E9B70" w14:textId="77777777" w:rsidR="00161DE2" w:rsidRPr="00587C08" w:rsidRDefault="00161DE2" w:rsidP="00161DE2">
      <w:r w:rsidRPr="00587C08">
        <w:rPr>
          <w:b/>
          <w:bCs/>
        </w:rPr>
        <w:t>Conclusie:</w:t>
      </w:r>
      <w:r w:rsidRPr="00587C08">
        <w:t xml:space="preserve"> De strategie is helder omschreven, de duurzame doelstellingen zijn goed </w:t>
      </w:r>
      <w:r>
        <w:t>beschreven</w:t>
      </w:r>
      <w:r w:rsidRPr="00587C08">
        <w:t xml:space="preserve"> en de informatie is makkelijk vindbaar. De enige beperking is dat individuele beleggingskeuzes niet worden toegelicht, wat </w:t>
      </w:r>
      <w:r>
        <w:t>gebruikelijk</w:t>
      </w:r>
      <w:r w:rsidRPr="00587C08">
        <w:t xml:space="preserve"> is voor </w:t>
      </w:r>
      <w:proofErr w:type="spellStart"/>
      <w:r w:rsidRPr="00587C08">
        <w:t>ETF’s</w:t>
      </w:r>
      <w:proofErr w:type="spellEnd"/>
      <w:r w:rsidRPr="00587C08">
        <w:t>.</w:t>
      </w:r>
    </w:p>
    <w:p w14:paraId="121DE58B" w14:textId="77777777" w:rsidR="00161DE2" w:rsidRPr="00587C08" w:rsidRDefault="00161DE2" w:rsidP="00161DE2"/>
    <w:p w14:paraId="1FFBAE69" w14:textId="77777777" w:rsidR="00161DE2" w:rsidRPr="00587C08" w:rsidRDefault="00161DE2" w:rsidP="00161DE2">
      <w:pPr>
        <w:rPr>
          <w:b/>
          <w:bCs/>
        </w:rPr>
      </w:pPr>
      <w:r w:rsidRPr="00587C08">
        <w:rPr>
          <w:b/>
          <w:bCs/>
        </w:rPr>
        <w:t>2. Historische risico/rendementsverhouding (25%)</w:t>
      </w:r>
    </w:p>
    <w:p w14:paraId="155EAC5E" w14:textId="77777777" w:rsidR="00161DE2" w:rsidRPr="00587C08" w:rsidRDefault="00161DE2" w:rsidP="00161DE2">
      <w:r w:rsidRPr="00587C08">
        <w:t>Het fonds is opgericht in augustus 2021, waardoor het nog geen lange track-record heeft zoals fondsen met tien tot vijftien jaar historie (</w:t>
      </w:r>
      <w:proofErr w:type="spellStart"/>
      <w:r w:rsidRPr="00587C08">
        <w:t>JustETF</w:t>
      </w:r>
      <w:proofErr w:type="spellEnd"/>
      <w:r w:rsidRPr="00587C08">
        <w:t xml:space="preserve">, 2025). Dat maakt het lastiger om een volledig beeld te vormen van hoe het fonds presteert in verschillende </w:t>
      </w:r>
      <w:r>
        <w:t>markten</w:t>
      </w:r>
      <w:r w:rsidRPr="00587C08">
        <w:t>, zoals hoge inflatie, recessies of perioden van sterke renteveranderingen.</w:t>
      </w:r>
      <w:r>
        <w:t xml:space="preserve"> Het fonds heeft wel al een aantal belangrijke markten doorstaan zoals: oorlog in Oekraïne en de corona pandemie</w:t>
      </w:r>
    </w:p>
    <w:p w14:paraId="6C074ACB" w14:textId="77777777" w:rsidR="00161DE2" w:rsidRPr="00587C08" w:rsidRDefault="00161DE2" w:rsidP="00161DE2">
      <w:r w:rsidRPr="00587C08">
        <w:t xml:space="preserve">Wel geeft de fondsdocumentatie aan dat het gaat om een wereldwijd gespreide portefeuille, waardoor beleggers te maken krijgen met rente- krediet- </w:t>
      </w:r>
      <w:r>
        <w:t>e</w:t>
      </w:r>
      <w:r w:rsidRPr="00587C08">
        <w:t xml:space="preserve">n valutarisico’s </w:t>
      </w:r>
      <w:r w:rsidRPr="00587C08">
        <w:lastRenderedPageBreak/>
        <w:t>(</w:t>
      </w:r>
      <w:proofErr w:type="spellStart"/>
      <w:r w:rsidRPr="00587C08">
        <w:t>BlackRock</w:t>
      </w:r>
      <w:proofErr w:type="spellEnd"/>
      <w:r w:rsidRPr="00587C08">
        <w:t>, 2025). De index bevat obligaties uit meerdere regio’s, zoals de VS, Europa en Azië, wat zorgt voor diversificatie, maar ook voor extra gevoeligheid voor internationale marktschommelingen. Zeker valutarisico’s kunnen een grotere impact hebben dan bij een fonds dat alleen in euro-obligaties belegt.</w:t>
      </w:r>
      <w:r>
        <w:t xml:space="preserve"> De recente daling van de Dollar is hier een goed voorbeeld van.</w:t>
      </w:r>
    </w:p>
    <w:p w14:paraId="6ECD33DF" w14:textId="77777777" w:rsidR="00161DE2" w:rsidRPr="00587C08" w:rsidRDefault="00161DE2" w:rsidP="00161DE2">
      <w:r w:rsidRPr="00587C08">
        <w:t>Op basis van de beschikbare data is het fonds qua volatiliteit en risico vergelijkbaar met andere wereldwijde obligatie-</w:t>
      </w:r>
      <w:proofErr w:type="spellStart"/>
      <w:r w:rsidRPr="00587C08">
        <w:t>ETF’s</w:t>
      </w:r>
      <w:proofErr w:type="spellEnd"/>
      <w:r w:rsidRPr="00587C08">
        <w:t xml:space="preserve">. Wel blijft de korte historie een nadeel: er zijn nog weinig gegevens om te beoordelen hoe stabiel het fonds door verschillende economische </w:t>
      </w:r>
      <w:r>
        <w:t>momenten</w:t>
      </w:r>
      <w:r w:rsidRPr="00587C08">
        <w:t xml:space="preserve"> presteert.</w:t>
      </w:r>
      <w:r>
        <w:t xml:space="preserve"> De </w:t>
      </w:r>
      <w:proofErr w:type="spellStart"/>
      <w:r>
        <w:t>beta</w:t>
      </w:r>
      <w:proofErr w:type="spellEnd"/>
      <w:r>
        <w:t xml:space="preserve"> van dit fonds is voor 3Y een 1,00.</w:t>
      </w:r>
    </w:p>
    <w:p w14:paraId="514BE207" w14:textId="77777777" w:rsidR="00161DE2" w:rsidRPr="00587C08" w:rsidRDefault="00161DE2" w:rsidP="00161DE2">
      <w:r w:rsidRPr="00587C08">
        <w:rPr>
          <w:b/>
          <w:bCs/>
        </w:rPr>
        <w:t>Conclusie:</w:t>
      </w:r>
      <w:r w:rsidRPr="00587C08">
        <w:t xml:space="preserve"> De risico-rendementsverhouding is op dit moment in lijn met vergelijkbare wereldwijde obligatiefondsen, maar door de korte historie is voorzichtigheid </w:t>
      </w:r>
      <w:r>
        <w:t>belangrijk</w:t>
      </w:r>
      <w:r w:rsidRPr="00587C08">
        <w:t xml:space="preserve"> bij het trekken van </w:t>
      </w:r>
      <w:r>
        <w:t>een</w:t>
      </w:r>
      <w:r w:rsidRPr="00587C08">
        <w:t xml:space="preserve"> conclusie.</w:t>
      </w:r>
    </w:p>
    <w:p w14:paraId="672B15A9" w14:textId="77777777" w:rsidR="00161DE2" w:rsidRPr="00587C08" w:rsidRDefault="00161DE2" w:rsidP="00161DE2"/>
    <w:p w14:paraId="7AEADC8B" w14:textId="77777777" w:rsidR="00161DE2" w:rsidRPr="00587C08" w:rsidRDefault="00161DE2" w:rsidP="00161DE2">
      <w:pPr>
        <w:rPr>
          <w:b/>
          <w:bCs/>
        </w:rPr>
      </w:pPr>
      <w:r w:rsidRPr="00587C08">
        <w:rPr>
          <w:b/>
          <w:bCs/>
        </w:rPr>
        <w:t>3. Kosten (15%)</w:t>
      </w:r>
    </w:p>
    <w:p w14:paraId="1F1BACC5" w14:textId="77777777" w:rsidR="00161DE2" w:rsidRPr="00587C08" w:rsidRDefault="00161DE2" w:rsidP="00161DE2">
      <w:r w:rsidRPr="00587C08">
        <w:t xml:space="preserve">De Total </w:t>
      </w:r>
      <w:proofErr w:type="spellStart"/>
      <w:r w:rsidRPr="00587C08">
        <w:t>Expense</w:t>
      </w:r>
      <w:proofErr w:type="spellEnd"/>
      <w:r w:rsidRPr="00587C08">
        <w:t xml:space="preserve"> Ratio van dit fonds bedraagt 0,10%, wat </w:t>
      </w:r>
      <w:r>
        <w:t>erg</w:t>
      </w:r>
      <w:r w:rsidRPr="00587C08">
        <w:t xml:space="preserve"> laag is voor een wereldwijd duurzaam obligatiefonds (</w:t>
      </w:r>
      <w:proofErr w:type="spellStart"/>
      <w:r w:rsidRPr="00587C08">
        <w:t>JustETF</w:t>
      </w:r>
      <w:proofErr w:type="spellEnd"/>
      <w:r w:rsidRPr="00587C08">
        <w:t>, 2025). Actieve duurzame fondsen rekenen vaak een TER die oploopt tot 0,60% of zelfs hoger. De lagere kosten van dit fonds maken het aantrekkelijk voor beleggers die waarde hechten aan efficiëntie en lange termijn rendement.</w:t>
      </w:r>
    </w:p>
    <w:p w14:paraId="03BFC72E" w14:textId="77777777" w:rsidR="00161DE2" w:rsidRPr="00587C08" w:rsidRDefault="00161DE2" w:rsidP="00161DE2">
      <w:r w:rsidRPr="00587C08">
        <w:t>De lage kosten zijn mogelijk doordat het fonds passief wordt beheerd, waardoor transactiekosten en beheerlasten lager liggen. Voor veel klanten die duurzaam willen beleggen, maar niet extra willen betalen voor actief beheer, is dit een belangrijk voordeel.</w:t>
      </w:r>
      <w:r>
        <w:t xml:space="preserve"> Het nadeel daarvan is dat de transacties minder transparant zijn, zoals al eerder is toegelicht</w:t>
      </w:r>
    </w:p>
    <w:p w14:paraId="6F48D95E" w14:textId="77777777" w:rsidR="00161DE2" w:rsidRPr="00587C08" w:rsidRDefault="00161DE2" w:rsidP="00161DE2">
      <w:r w:rsidRPr="00587C08">
        <w:rPr>
          <w:b/>
          <w:bCs/>
        </w:rPr>
        <w:t>Conclusie:</w:t>
      </w:r>
      <w:r w:rsidRPr="00587C08">
        <w:t xml:space="preserve"> Dit is een van de meest kosten-efficiënte opties binnen </w:t>
      </w:r>
      <w:r>
        <w:t xml:space="preserve">de wereld van </w:t>
      </w:r>
      <w:r w:rsidRPr="00587C08">
        <w:t xml:space="preserve">duurzame wereldwijde obligaties. De lage TER draagt duidelijk bij aan een beter </w:t>
      </w:r>
      <w:proofErr w:type="spellStart"/>
      <w:r w:rsidRPr="00587C08">
        <w:t>netto-rendement</w:t>
      </w:r>
      <w:proofErr w:type="spellEnd"/>
      <w:r w:rsidRPr="00587C08">
        <w:t>.</w:t>
      </w:r>
    </w:p>
    <w:p w14:paraId="58C7EB0D" w14:textId="77777777" w:rsidR="00161DE2" w:rsidRPr="00587C08" w:rsidRDefault="00161DE2" w:rsidP="00161DE2"/>
    <w:p w14:paraId="08912DF7" w14:textId="77777777" w:rsidR="00161DE2" w:rsidRPr="00750696" w:rsidRDefault="00161DE2" w:rsidP="00161DE2">
      <w:pPr>
        <w:rPr>
          <w:b/>
          <w:bCs/>
        </w:rPr>
      </w:pPr>
      <w:r w:rsidRPr="00750696">
        <w:rPr>
          <w:b/>
          <w:bCs/>
        </w:rPr>
        <w:t>4. Aansluiting bij de strategie van het adviesbureau (30%)</w:t>
      </w:r>
    </w:p>
    <w:p w14:paraId="449D00D9" w14:textId="77777777" w:rsidR="00161DE2" w:rsidRPr="00750696" w:rsidRDefault="00161DE2" w:rsidP="00161DE2">
      <w:r w:rsidRPr="00750696">
        <w:t xml:space="preserve">Voor </w:t>
      </w:r>
      <w:proofErr w:type="spellStart"/>
      <w:r w:rsidRPr="00750696">
        <w:t>HuisjeBoompjeBeleggen</w:t>
      </w:r>
      <w:proofErr w:type="spellEnd"/>
      <w:r w:rsidRPr="00750696">
        <w:t xml:space="preserve"> is duurzaamheid belangrijk, maar altijd in combinatie met een goed rendement. Het </w:t>
      </w:r>
      <w:proofErr w:type="spellStart"/>
      <w:r w:rsidRPr="00750696">
        <w:t>iShares</w:t>
      </w:r>
      <w:proofErr w:type="spellEnd"/>
      <w:r w:rsidRPr="00750696">
        <w:t xml:space="preserve"> Global </w:t>
      </w:r>
      <w:proofErr w:type="spellStart"/>
      <w:r w:rsidRPr="00750696">
        <w:t>Aggregate</w:t>
      </w:r>
      <w:proofErr w:type="spellEnd"/>
      <w:r w:rsidRPr="00750696">
        <w:t xml:space="preserve"> Bond ESG SRI UCITS ETF sluit hier goed bij aan, omdat het fonds duidelijke duurzaamheidscriteria gebruikt terwijl het door brede spreiding en lage kosten ook een aantrekkelijk </w:t>
      </w:r>
      <w:r>
        <w:t>(potentieel) rendement</w:t>
      </w:r>
      <w:r w:rsidRPr="00750696">
        <w:t xml:space="preserve"> heeft.</w:t>
      </w:r>
    </w:p>
    <w:p w14:paraId="56364D70" w14:textId="77777777" w:rsidR="00161DE2" w:rsidRDefault="00161DE2" w:rsidP="00161DE2"/>
    <w:p w14:paraId="7C459BE6" w14:textId="77777777" w:rsidR="00161DE2" w:rsidRDefault="00161DE2" w:rsidP="00161DE2"/>
    <w:p w14:paraId="157ABB12" w14:textId="77777777" w:rsidR="00161DE2" w:rsidRPr="00750696" w:rsidRDefault="00161DE2" w:rsidP="00161DE2">
      <w:pPr>
        <w:rPr>
          <w:b/>
          <w:bCs/>
        </w:rPr>
      </w:pPr>
      <w:r w:rsidRPr="00750696">
        <w:rPr>
          <w:b/>
          <w:bCs/>
        </w:rPr>
        <w:lastRenderedPageBreak/>
        <w:t>Duurzaamheidsbeleid van het fonds</w:t>
      </w:r>
    </w:p>
    <w:p w14:paraId="20676667" w14:textId="77777777" w:rsidR="00161DE2" w:rsidRPr="00750696" w:rsidRDefault="00161DE2" w:rsidP="00161DE2">
      <w:r w:rsidRPr="00750696">
        <w:t>Het fonds volgt een index met een streng ESG- en SRI-beleid, waarbij zowel milieu-</w:t>
      </w:r>
      <w:r>
        <w:t xml:space="preserve"> </w:t>
      </w:r>
      <w:r w:rsidRPr="00750696">
        <w:t xml:space="preserve">sociale- als </w:t>
      </w:r>
      <w:proofErr w:type="spellStart"/>
      <w:r w:rsidRPr="00750696">
        <w:t>governancefactoren</w:t>
      </w:r>
      <w:proofErr w:type="spellEnd"/>
      <w:r w:rsidRPr="00750696">
        <w:t xml:space="preserve"> worden meegenomen (</w:t>
      </w:r>
      <w:proofErr w:type="spellStart"/>
      <w:r w:rsidRPr="00750696">
        <w:t>BlackRock</w:t>
      </w:r>
      <w:proofErr w:type="spellEnd"/>
      <w:r w:rsidRPr="00750696">
        <w:t>, 2025). De screening richt zich vooral op het vermijden van bedrijven</w:t>
      </w:r>
      <w:r>
        <w:t xml:space="preserve"> met negatieve impact </w:t>
      </w:r>
      <w:r w:rsidRPr="00750696">
        <w:t xml:space="preserve">en op het selecteren van obligaties die voldoen aan internationale duurzaamheidsnormen. Green </w:t>
      </w:r>
      <w:proofErr w:type="spellStart"/>
      <w:r w:rsidRPr="00750696">
        <w:t>bonds</w:t>
      </w:r>
      <w:proofErr w:type="spellEnd"/>
      <w:r w:rsidRPr="00750696">
        <w:t xml:space="preserve"> en andere duurzame thema-obligaties maken deel uit van de index, waardoor het fonds nadrukkelijk bijdraagt aan duurzame financiering (</w:t>
      </w:r>
      <w:proofErr w:type="spellStart"/>
      <w:r w:rsidRPr="00750696">
        <w:t>iShares</w:t>
      </w:r>
      <w:proofErr w:type="spellEnd"/>
      <w:r w:rsidRPr="00750696">
        <w:t>, 2025).</w:t>
      </w:r>
    </w:p>
    <w:p w14:paraId="39D02E1F" w14:textId="77777777" w:rsidR="00161DE2" w:rsidRPr="00750696" w:rsidRDefault="00161DE2" w:rsidP="00161DE2">
      <w:pPr>
        <w:rPr>
          <w:b/>
          <w:bCs/>
        </w:rPr>
      </w:pPr>
      <w:r w:rsidRPr="00750696">
        <w:rPr>
          <w:b/>
          <w:bCs/>
        </w:rPr>
        <w:t>Besluitvormingscriteria</w:t>
      </w:r>
    </w:p>
    <w:p w14:paraId="028637A7" w14:textId="77777777" w:rsidR="00161DE2" w:rsidRPr="00750696" w:rsidRDefault="00161DE2" w:rsidP="00161DE2">
      <w:r w:rsidRPr="00750696">
        <w:t>Het fonds hanteert duidelijke duurzaamheidscriteria:</w:t>
      </w:r>
    </w:p>
    <w:p w14:paraId="7211B3B8" w14:textId="77777777" w:rsidR="00161DE2" w:rsidRPr="00750696" w:rsidRDefault="00161DE2" w:rsidP="00161DE2">
      <w:pPr>
        <w:numPr>
          <w:ilvl w:val="0"/>
          <w:numId w:val="4"/>
        </w:numPr>
      </w:pPr>
      <w:r w:rsidRPr="00750696">
        <w:t>Uitsluitingen van bedrijven die actief zijn in tabak, fossiele brandstoffen, wapens of schendingen van mensenrechten (</w:t>
      </w:r>
      <w:proofErr w:type="spellStart"/>
      <w:r w:rsidRPr="00750696">
        <w:t>BlackRock</w:t>
      </w:r>
      <w:proofErr w:type="spellEnd"/>
      <w:r w:rsidRPr="00750696">
        <w:t>, 2025).</w:t>
      </w:r>
    </w:p>
    <w:p w14:paraId="2C288093" w14:textId="77777777" w:rsidR="00161DE2" w:rsidRPr="00750696" w:rsidRDefault="00161DE2" w:rsidP="00161DE2">
      <w:pPr>
        <w:numPr>
          <w:ilvl w:val="0"/>
          <w:numId w:val="4"/>
        </w:numPr>
      </w:pPr>
      <w:r w:rsidRPr="00750696">
        <w:t xml:space="preserve">Positieve screening, waarbij alleen </w:t>
      </w:r>
      <w:proofErr w:type="spellStart"/>
      <w:r w:rsidRPr="00750696">
        <w:t>emitenten</w:t>
      </w:r>
      <w:proofErr w:type="spellEnd"/>
      <w:r w:rsidRPr="00750696">
        <w:t xml:space="preserve"> met een bovengemiddelde ESG-score worden toegelaten (</w:t>
      </w:r>
      <w:proofErr w:type="spellStart"/>
      <w:r w:rsidRPr="00750696">
        <w:t>iShares</w:t>
      </w:r>
      <w:proofErr w:type="spellEnd"/>
      <w:r w:rsidRPr="00750696">
        <w:t>, 2025).</w:t>
      </w:r>
    </w:p>
    <w:p w14:paraId="28D95302" w14:textId="77777777" w:rsidR="00161DE2" w:rsidRPr="00750696" w:rsidRDefault="00161DE2" w:rsidP="00161DE2">
      <w:pPr>
        <w:numPr>
          <w:ilvl w:val="0"/>
          <w:numId w:val="4"/>
        </w:numPr>
      </w:pPr>
      <w:r w:rsidRPr="00750696">
        <w:t xml:space="preserve">Thematisch component, doordat er binnen de index ruimte is voor duurzame obligaties zoals green </w:t>
      </w:r>
      <w:proofErr w:type="spellStart"/>
      <w:r w:rsidRPr="00750696">
        <w:t>bonds</w:t>
      </w:r>
      <w:proofErr w:type="spellEnd"/>
      <w:r w:rsidRPr="00750696">
        <w:t>.</w:t>
      </w:r>
    </w:p>
    <w:p w14:paraId="345231C5" w14:textId="77777777" w:rsidR="00161DE2" w:rsidRPr="00750696" w:rsidRDefault="00161DE2" w:rsidP="00161DE2">
      <w:pPr>
        <w:rPr>
          <w:b/>
          <w:bCs/>
        </w:rPr>
      </w:pPr>
      <w:r w:rsidRPr="00750696">
        <w:rPr>
          <w:b/>
          <w:bCs/>
        </w:rPr>
        <w:t>Striktheid van de criteria</w:t>
      </w:r>
    </w:p>
    <w:p w14:paraId="504C1554" w14:textId="77777777" w:rsidR="00161DE2" w:rsidRPr="00750696" w:rsidRDefault="00161DE2" w:rsidP="00161DE2">
      <w:r w:rsidRPr="00750696">
        <w:t>De SRI-criteria zijn relatief streng: bedrijven met lage ESG-scores of ernstige controverses worden volledig uitgesloten, en alleen investment-</w:t>
      </w:r>
      <w:proofErr w:type="spellStart"/>
      <w:r w:rsidRPr="00750696">
        <w:t>grade</w:t>
      </w:r>
      <w:proofErr w:type="spellEnd"/>
      <w:r w:rsidRPr="00750696">
        <w:t xml:space="preserve"> uitgevende partijen worden toegelaten (</w:t>
      </w:r>
      <w:proofErr w:type="spellStart"/>
      <w:r w:rsidRPr="00750696">
        <w:t>BlackRock</w:t>
      </w:r>
      <w:proofErr w:type="spellEnd"/>
      <w:r w:rsidRPr="00750696">
        <w:t xml:space="preserve">, 2025). Hierdoor ontstaat een duurzame </w:t>
      </w:r>
      <w:r>
        <w:t>e</w:t>
      </w:r>
      <w:r w:rsidRPr="00750696">
        <w:t>n financieel stabiele portefeuille, wat aansluit bij onze visie op verantwoord rendement.</w:t>
      </w:r>
    </w:p>
    <w:p w14:paraId="11DB0B4A" w14:textId="77777777" w:rsidR="00161DE2" w:rsidRPr="00750696" w:rsidRDefault="00161DE2" w:rsidP="00161DE2">
      <w:r w:rsidRPr="00750696">
        <w:rPr>
          <w:b/>
          <w:bCs/>
        </w:rPr>
        <w:t>Conclusie</w:t>
      </w:r>
      <w:r w:rsidRPr="00124160">
        <w:rPr>
          <w:b/>
          <w:bCs/>
        </w:rPr>
        <w:t>:</w:t>
      </w:r>
      <w:r>
        <w:t xml:space="preserve"> </w:t>
      </w:r>
      <w:r w:rsidRPr="00750696">
        <w:t xml:space="preserve">Het fonds past goed bij de strategie van </w:t>
      </w:r>
      <w:proofErr w:type="spellStart"/>
      <w:r w:rsidRPr="00750696">
        <w:t>HuisjeBoompjeBeleggen</w:t>
      </w:r>
      <w:proofErr w:type="spellEnd"/>
      <w:r w:rsidRPr="00750696">
        <w:t>: het biedt een combinatie van duurzaamheid, brede spreiding en lage kosten, zonder dat duurzaamheid ten koste gaat van het rendement.</w:t>
      </w:r>
    </w:p>
    <w:p w14:paraId="1B4CCC35" w14:textId="77777777" w:rsidR="00161DE2" w:rsidRPr="00587C08" w:rsidRDefault="00161DE2" w:rsidP="00161DE2"/>
    <w:p w14:paraId="6C42DB2D" w14:textId="77777777" w:rsidR="00161DE2" w:rsidRPr="00587C08" w:rsidRDefault="00161DE2" w:rsidP="00161DE2">
      <w:pPr>
        <w:rPr>
          <w:b/>
          <w:bCs/>
        </w:rPr>
      </w:pPr>
      <w:r w:rsidRPr="00587C08">
        <w:rPr>
          <w:b/>
          <w:bCs/>
        </w:rPr>
        <w:t>5. Klimaatrisico’s (10%)</w:t>
      </w:r>
    </w:p>
    <w:p w14:paraId="5BDF49F4" w14:textId="77777777" w:rsidR="00161DE2" w:rsidRPr="00587C08" w:rsidRDefault="00161DE2" w:rsidP="00161DE2">
      <w:r w:rsidRPr="00587C08">
        <w:t>Het fonds geeft informatie over de belangrijkste financiële risico’s, zoals rente-, krediet- en valutarisico’s (</w:t>
      </w:r>
      <w:proofErr w:type="spellStart"/>
      <w:r w:rsidRPr="00587C08">
        <w:t>BlackRock</w:t>
      </w:r>
      <w:proofErr w:type="spellEnd"/>
      <w:r w:rsidRPr="00587C08">
        <w:t>, 2025). Daarnaast wordt toegelicht dat ESG-screening bedoeld is om duurzaamheids- en klimaatrisico’s te beperken door bedrijven met hoge ESG-risico’s uit te sluiten. Dit zorgt ervoor dat klimaatrisico niet volledig wordt vermeden, maar wel wordt gematigd.</w:t>
      </w:r>
    </w:p>
    <w:p w14:paraId="2024F22E" w14:textId="77777777" w:rsidR="00161DE2" w:rsidRDefault="00161DE2" w:rsidP="00161DE2">
      <w:r w:rsidRPr="00730F27">
        <w:t xml:space="preserve">Er is </w:t>
      </w:r>
      <w:r>
        <w:t>alleen</w:t>
      </w:r>
      <w:r w:rsidRPr="00730F27">
        <w:t xml:space="preserve"> geen diepgaande informatie beschikbaar over specifieke klimaatscenario’s, zoals wat er zou gebeuren in een 1,5°C-scenario of hoe fysieke klimaatrisico’s verschillende regio’s kunnen beïnvloeden. Voor sommige beleggers is dat geen </w:t>
      </w:r>
      <w:r>
        <w:t>probleem</w:t>
      </w:r>
      <w:r w:rsidRPr="00730F27">
        <w:t>, maar anderen hechten</w:t>
      </w:r>
      <w:r>
        <w:t xml:space="preserve"> meer</w:t>
      </w:r>
      <w:r w:rsidRPr="00730F27">
        <w:t xml:space="preserve"> waarde aan dit soort extra duidelijkheid.</w:t>
      </w:r>
    </w:p>
    <w:p w14:paraId="446B8EB3" w14:textId="77777777" w:rsidR="00161DE2" w:rsidRPr="00587C08" w:rsidRDefault="00161DE2" w:rsidP="00161DE2">
      <w:r w:rsidRPr="00587C08">
        <w:rPr>
          <w:b/>
          <w:bCs/>
        </w:rPr>
        <w:lastRenderedPageBreak/>
        <w:t>Conclusie:</w:t>
      </w:r>
      <w:r w:rsidRPr="00587C08">
        <w:t xml:space="preserve"> De basisinformatie over klimaatrisico’s is aanwezig, maar uitgebreide scenarioanalyses ontbreken. Hierdoor is de transparantie over specifieke klimaatrisico’s beperkt.</w:t>
      </w:r>
    </w:p>
    <w:p w14:paraId="6D4E4782" w14:textId="77777777" w:rsidR="00161DE2" w:rsidRPr="00587C08" w:rsidRDefault="00161DE2" w:rsidP="00161DE2"/>
    <w:p w14:paraId="6F1A484D" w14:textId="77777777" w:rsidR="00161DE2" w:rsidRPr="00587C08" w:rsidRDefault="00161DE2" w:rsidP="00161DE2">
      <w:pPr>
        <w:rPr>
          <w:b/>
          <w:bCs/>
        </w:rPr>
      </w:pPr>
      <w:r w:rsidRPr="00587C08">
        <w:rPr>
          <w:b/>
          <w:bCs/>
        </w:rPr>
        <w:t>6. Klantcommunicatie (10%)</w:t>
      </w:r>
    </w:p>
    <w:p w14:paraId="5E549866" w14:textId="77777777" w:rsidR="00161DE2" w:rsidRPr="00587C08" w:rsidRDefault="00161DE2" w:rsidP="00161DE2">
      <w:r w:rsidRPr="00587C08">
        <w:t xml:space="preserve">De klantcommunicatie van </w:t>
      </w:r>
      <w:proofErr w:type="spellStart"/>
      <w:r w:rsidRPr="00587C08">
        <w:t>iShares</w:t>
      </w:r>
      <w:proofErr w:type="spellEnd"/>
      <w:r w:rsidRPr="00587C08">
        <w:t xml:space="preserve"> is over het algemeen goed: de </w:t>
      </w:r>
      <w:proofErr w:type="spellStart"/>
      <w:r w:rsidRPr="00587C08">
        <w:t>factsheet</w:t>
      </w:r>
      <w:proofErr w:type="spellEnd"/>
      <w:r w:rsidRPr="00587C08">
        <w:t>, het prospectus en andere documenten zijn beschikbaar in het Nederlands en worden regelmatig geüpdatet (</w:t>
      </w:r>
      <w:proofErr w:type="spellStart"/>
      <w:r w:rsidRPr="00587C08">
        <w:t>iShares</w:t>
      </w:r>
      <w:proofErr w:type="spellEnd"/>
      <w:r w:rsidRPr="00587C08">
        <w:t>, 2025). De opmaak is overzichtelijk en de belangrijkste informatie, zoals kosten, risico’s en strategie is makkelijk te vinden</w:t>
      </w:r>
      <w:r>
        <w:t xml:space="preserve"> op de website die erg overzichtelijk is.</w:t>
      </w:r>
    </w:p>
    <w:p w14:paraId="6E676694" w14:textId="77777777" w:rsidR="00161DE2" w:rsidRPr="00587C08" w:rsidRDefault="00161DE2" w:rsidP="00161DE2">
      <w:r w:rsidRPr="00587C08">
        <w:rPr>
          <w:b/>
          <w:bCs/>
        </w:rPr>
        <w:t>Conclusie:</w:t>
      </w:r>
      <w:r w:rsidRPr="00587C08">
        <w:t xml:space="preserve"> De informatie is professioneel, duidelijk en toegankelijk, maar zou met eenvoudiger taal nog beter aansluiten bij minder ervaren beleggers.</w:t>
      </w:r>
    </w:p>
    <w:p w14:paraId="0FD740B1" w14:textId="77777777" w:rsidR="00161DE2" w:rsidRPr="004D54BD" w:rsidRDefault="00161DE2" w:rsidP="00161DE2"/>
    <w:p w14:paraId="4FD982C4" w14:textId="77777777" w:rsidR="00161DE2" w:rsidRPr="0064424A" w:rsidRDefault="00161DE2" w:rsidP="00161DE2">
      <w:pPr>
        <w:rPr>
          <w:b/>
          <w:bCs/>
          <w:sz w:val="28"/>
          <w:szCs w:val="28"/>
          <w:lang w:val="en-US"/>
        </w:rPr>
      </w:pPr>
      <w:r w:rsidRPr="0064424A">
        <w:rPr>
          <w:b/>
          <w:bCs/>
          <w:sz w:val="28"/>
          <w:szCs w:val="28"/>
          <w:lang w:val="en-US"/>
        </w:rPr>
        <w:t>Robeco: Robeco Sustainable Global Bds DH EUR Acc LU2885076518</w:t>
      </w:r>
    </w:p>
    <w:p w14:paraId="667A8972" w14:textId="77777777" w:rsidR="00161DE2" w:rsidRPr="00E77DEC" w:rsidRDefault="00161DE2" w:rsidP="00161DE2">
      <w:pPr>
        <w:rPr>
          <w:b/>
          <w:bCs/>
          <w:lang w:val="en-US"/>
        </w:rPr>
      </w:pPr>
    </w:p>
    <w:p w14:paraId="05F7B801" w14:textId="77777777" w:rsidR="00161DE2" w:rsidRPr="00E45C23" w:rsidRDefault="00161DE2" w:rsidP="00161DE2">
      <w:pPr>
        <w:rPr>
          <w:b/>
          <w:bCs/>
        </w:rPr>
      </w:pPr>
      <w:r w:rsidRPr="00E45C23">
        <w:rPr>
          <w:b/>
          <w:bCs/>
        </w:rPr>
        <w:t>1. Communicatie van de beleggingsstrategie (10%)</w:t>
      </w:r>
    </w:p>
    <w:p w14:paraId="0B5AACD3" w14:textId="77777777" w:rsidR="00161DE2" w:rsidRPr="00E45C23" w:rsidRDefault="00161DE2" w:rsidP="00161DE2">
      <w:r w:rsidRPr="00E45C23">
        <w:t xml:space="preserve">Het fonds </w:t>
      </w:r>
      <w:r>
        <w:t>wordt</w:t>
      </w:r>
      <w:r w:rsidRPr="00E45C23">
        <w:t xml:space="preserve"> actief </w:t>
      </w:r>
      <w:r>
        <w:t>beheerd</w:t>
      </w:r>
      <w:r w:rsidRPr="00E45C23">
        <w:t xml:space="preserve"> door Robeco en belegt wereldwijd in staats- en bedrijfsobligaties van ontwikkelde landen en heeft de flexibiliteit om ook </w:t>
      </w:r>
      <w:proofErr w:type="spellStart"/>
      <w:r w:rsidRPr="00E45C23">
        <w:t>emerging</w:t>
      </w:r>
      <w:proofErr w:type="spellEnd"/>
      <w:r w:rsidRPr="00E45C23">
        <w:t xml:space="preserve"> </w:t>
      </w:r>
      <w:proofErr w:type="spellStart"/>
      <w:r w:rsidRPr="00E45C23">
        <w:t>debt</w:t>
      </w:r>
      <w:proofErr w:type="spellEnd"/>
      <w:r w:rsidRPr="00E45C23">
        <w:t xml:space="preserve"> op te nemen (Robeco, 2025)</w:t>
      </w:r>
      <w:r>
        <w:t>.</w:t>
      </w:r>
      <w:r w:rsidRPr="00E45C23">
        <w:t xml:space="preserve"> De beleggingsstijl omvat een top-down asset-allocatie en een actieve </w:t>
      </w:r>
      <w:proofErr w:type="spellStart"/>
      <w:r w:rsidRPr="00E45C23">
        <w:t>duration</w:t>
      </w:r>
      <w:proofErr w:type="spellEnd"/>
      <w:r w:rsidRPr="00E45C23">
        <w:t>-strategie, met als doel zowel aantrekkelijk rendement als risicobeheersing. (Robeco, 2025)</w:t>
      </w:r>
    </w:p>
    <w:p w14:paraId="30A4BF72" w14:textId="77777777" w:rsidR="00161DE2" w:rsidRPr="00E45C23" w:rsidRDefault="00161DE2" w:rsidP="00161DE2">
      <w:r w:rsidRPr="00E45C23">
        <w:t>De strategie is in grote lijnen duidelijk gecommuniceerd: het fonds wil kapitaalgroei realiseren via een wereldwijd gespreide obligatieportefeuille met duurzaamheid</w:t>
      </w:r>
      <w:r>
        <w:t xml:space="preserve"> als belangrijke factor</w:t>
      </w:r>
      <w:r w:rsidRPr="00E45C23">
        <w:t xml:space="preserve">. </w:t>
      </w:r>
      <w:r>
        <w:t>E</w:t>
      </w:r>
      <w:r w:rsidRPr="00E45C23">
        <w:t>r is</w:t>
      </w:r>
      <w:r>
        <w:t xml:space="preserve"> alleen</w:t>
      </w:r>
      <w:r w:rsidRPr="00E45C23">
        <w:t xml:space="preserve"> beperkte informatie beschikbaar over de specifieke obligatie-selecties of de exacte momenten van in- en uitstappen.</w:t>
      </w:r>
    </w:p>
    <w:p w14:paraId="3B513302" w14:textId="77777777" w:rsidR="00161DE2" w:rsidRPr="00E45C23" w:rsidRDefault="00161DE2" w:rsidP="00161DE2">
      <w:r w:rsidRPr="00E45C23">
        <w:rPr>
          <w:b/>
          <w:bCs/>
        </w:rPr>
        <w:t>Conclusie</w:t>
      </w:r>
      <w:r w:rsidRPr="00E45C23">
        <w:t>: De beleggingsstrategie is begrijpelijk en netjes uitgelegd, maar voor klanten die veel willen weten over individuele keuzes is de detaillering beperkt.</w:t>
      </w:r>
    </w:p>
    <w:p w14:paraId="351EAF37" w14:textId="77777777" w:rsidR="00161DE2" w:rsidRPr="00E45C23" w:rsidRDefault="00161DE2" w:rsidP="00161DE2">
      <w:pPr>
        <w:rPr>
          <w:b/>
          <w:bCs/>
        </w:rPr>
      </w:pPr>
    </w:p>
    <w:p w14:paraId="7534A280" w14:textId="77777777" w:rsidR="00161DE2" w:rsidRPr="00E45C23" w:rsidRDefault="00161DE2" w:rsidP="00161DE2">
      <w:pPr>
        <w:rPr>
          <w:b/>
          <w:bCs/>
        </w:rPr>
      </w:pPr>
      <w:r w:rsidRPr="00E45C23">
        <w:rPr>
          <w:b/>
          <w:bCs/>
        </w:rPr>
        <w:t>2. Historische risico/rendementsverhouding (25%)</w:t>
      </w:r>
    </w:p>
    <w:p w14:paraId="7F4AFA50" w14:textId="77777777" w:rsidR="00161DE2" w:rsidRDefault="00161DE2" w:rsidP="00161DE2">
      <w:r>
        <w:t>De</w:t>
      </w:r>
      <w:r w:rsidRPr="00E45C23">
        <w:t xml:space="preserve"> fondspublicatie laat zien dat het fonds over meerdere jaren prestaties heeft, maar bijvoorbeeld in de </w:t>
      </w:r>
      <w:proofErr w:type="spellStart"/>
      <w:r w:rsidRPr="00E45C23">
        <w:t>factsheet</w:t>
      </w:r>
      <w:proofErr w:type="spellEnd"/>
      <w:r w:rsidRPr="00E45C23">
        <w:t>: 5 jaar -2,75% en 10 jaar -0,67% in vergelijking met benchmark +0,44% over 10 jaar (Robeco, 2025)</w:t>
      </w:r>
      <w:r>
        <w:t xml:space="preserve">. Voor het YTD rendement doet het fonds het wel goed: 3,35% vergeleken met 2,42% van de benchmark. </w:t>
      </w:r>
    </w:p>
    <w:p w14:paraId="7A71CBF7" w14:textId="77777777" w:rsidR="00161DE2" w:rsidRDefault="00161DE2" w:rsidP="00161DE2"/>
    <w:p w14:paraId="7AAABB23" w14:textId="77777777" w:rsidR="00161DE2" w:rsidRPr="00E45C23" w:rsidRDefault="00161DE2" w:rsidP="00161DE2">
      <w:r w:rsidRPr="00E45C23">
        <w:lastRenderedPageBreak/>
        <w:t xml:space="preserve">Dit laat zien dat in deze periode het rendement negatief was, wat betekent dat het fonds gevoelig is geweest voor marktomstandigheden in obligaties. Omdat het wereldwijd belegt en </w:t>
      </w:r>
      <w:proofErr w:type="spellStart"/>
      <w:r w:rsidRPr="00E45C23">
        <w:t>duration</w:t>
      </w:r>
      <w:proofErr w:type="spellEnd"/>
      <w:r w:rsidRPr="00E45C23">
        <w:t xml:space="preserve"> actief is, spelen zowel rente- als kredietrisico’s een rol.</w:t>
      </w:r>
      <w:r>
        <w:t xml:space="preserve"> In de afgelopen 3 jaar laat het wel een herstel zien die redelijk overeenkomt met de benchmark of zelfs hoger is. Verder is de </w:t>
      </w:r>
      <w:proofErr w:type="spellStart"/>
      <w:r>
        <w:t>Beta</w:t>
      </w:r>
      <w:proofErr w:type="spellEnd"/>
      <w:r>
        <w:t xml:space="preserve"> van dit fonds voor 3Y 1,08.</w:t>
      </w:r>
    </w:p>
    <w:p w14:paraId="02DA2A06" w14:textId="77777777" w:rsidR="00161DE2" w:rsidRDefault="00161DE2" w:rsidP="00161DE2">
      <w:r w:rsidRPr="00E45C23">
        <w:rPr>
          <w:b/>
          <w:bCs/>
        </w:rPr>
        <w:t xml:space="preserve">Conclusie: </w:t>
      </w:r>
      <w:r w:rsidRPr="00E45C23">
        <w:t>Het risico-rendementsprofiel is transparant beschikbaar, maar het laat zien dat rendement niet altijd positief is geweest. Daarom is het belangrijk dat klanten beseffen dat rendement geen garantie is.</w:t>
      </w:r>
    </w:p>
    <w:p w14:paraId="068AE8D9" w14:textId="77777777" w:rsidR="00161DE2" w:rsidRPr="00E45C23" w:rsidRDefault="00161DE2" w:rsidP="00161DE2"/>
    <w:p w14:paraId="1A1376F2" w14:textId="77777777" w:rsidR="00161DE2" w:rsidRPr="00E45C23" w:rsidRDefault="00161DE2" w:rsidP="00161DE2">
      <w:pPr>
        <w:rPr>
          <w:b/>
          <w:bCs/>
        </w:rPr>
      </w:pPr>
      <w:r w:rsidRPr="00E45C23">
        <w:rPr>
          <w:b/>
          <w:bCs/>
        </w:rPr>
        <w:t>3. Kosten (15%)</w:t>
      </w:r>
    </w:p>
    <w:p w14:paraId="77C6EF87" w14:textId="77777777" w:rsidR="00161DE2" w:rsidRPr="00E45C23" w:rsidRDefault="00161DE2" w:rsidP="00161DE2">
      <w:r>
        <w:t xml:space="preserve">Volgens de website van Robeco zijn de lopende kosten 1,01% met 0,29% transactiekosten. </w:t>
      </w:r>
      <w:r w:rsidRPr="00E45C23">
        <w:t>Dit is relatief hoog in vergelijking met sommige passieve of goedkopere obligatie-</w:t>
      </w:r>
      <w:proofErr w:type="spellStart"/>
      <w:r w:rsidRPr="00E45C23">
        <w:t>ETF’s</w:t>
      </w:r>
      <w:proofErr w:type="spellEnd"/>
      <w:r w:rsidRPr="00E45C23">
        <w:t>, maar voor een actief beheerd wereldwijd duurzaam obligatiefonds is het redelijk.</w:t>
      </w:r>
    </w:p>
    <w:p w14:paraId="25E005E5" w14:textId="77777777" w:rsidR="00161DE2" w:rsidRPr="00E45C23" w:rsidRDefault="00161DE2" w:rsidP="00161DE2">
      <w:r w:rsidRPr="00E45C23">
        <w:rPr>
          <w:b/>
          <w:bCs/>
        </w:rPr>
        <w:t xml:space="preserve">Conclusie: </w:t>
      </w:r>
      <w:r w:rsidRPr="00E45C23">
        <w:t>De kosten zijn niet uitzonderlijk laag</w:t>
      </w:r>
      <w:r>
        <w:t xml:space="preserve">, </w:t>
      </w:r>
      <w:r w:rsidRPr="00E45C23">
        <w:t>klanten dienen zich bewust te zijn van het kostenaspect, vooral omdat dit rendement op lange termijn kan beïnvloeden.</w:t>
      </w:r>
      <w:r>
        <w:t xml:space="preserve"> Verder heeft dit fonds wel het voordeel dat het actief beheerd wordt, dit kunnen sommige klanten fijn vinden.</w:t>
      </w:r>
    </w:p>
    <w:p w14:paraId="1E4ED705" w14:textId="77777777" w:rsidR="00161DE2" w:rsidRPr="00E45C23" w:rsidRDefault="00161DE2" w:rsidP="00161DE2">
      <w:pPr>
        <w:rPr>
          <w:b/>
          <w:bCs/>
        </w:rPr>
      </w:pPr>
    </w:p>
    <w:p w14:paraId="519B9077" w14:textId="77777777" w:rsidR="00161DE2" w:rsidRPr="00E45C23" w:rsidRDefault="00161DE2" w:rsidP="00161DE2">
      <w:pPr>
        <w:rPr>
          <w:b/>
          <w:bCs/>
        </w:rPr>
      </w:pPr>
      <w:r w:rsidRPr="00E45C23">
        <w:rPr>
          <w:b/>
          <w:bCs/>
        </w:rPr>
        <w:t>4. Aansluiting bij de strategie van het adviesbureau (30%)</w:t>
      </w:r>
    </w:p>
    <w:p w14:paraId="5802012B" w14:textId="77777777" w:rsidR="00161DE2" w:rsidRPr="00E45C23" w:rsidRDefault="00161DE2" w:rsidP="00161DE2">
      <w:r w:rsidRPr="00E45C23">
        <w:t xml:space="preserve">Duurzaamheidsbeleid: Het fonds heeft een duurzaamheidsaanpak die milieu (E), sociale impact (S) en </w:t>
      </w:r>
      <w:proofErr w:type="spellStart"/>
      <w:r w:rsidRPr="00E45C23">
        <w:t>governance</w:t>
      </w:r>
      <w:proofErr w:type="spellEnd"/>
      <w:r w:rsidRPr="00E45C23">
        <w:t xml:space="preserve"> (G) </w:t>
      </w:r>
      <w:r>
        <w:t>meeneemt</w:t>
      </w:r>
      <w:r w:rsidRPr="00E45C23">
        <w:t xml:space="preserve">. Het fonds past uitsluitingen toe, ESG-integratie en investeert ten minste 20% in green, </w:t>
      </w:r>
      <w:proofErr w:type="spellStart"/>
      <w:r w:rsidRPr="00E45C23">
        <w:t>social</w:t>
      </w:r>
      <w:proofErr w:type="spellEnd"/>
      <w:r w:rsidRPr="00E45C23">
        <w:t xml:space="preserve">, </w:t>
      </w:r>
      <w:proofErr w:type="spellStart"/>
      <w:r w:rsidRPr="00E45C23">
        <w:t>sustainable</w:t>
      </w:r>
      <w:proofErr w:type="spellEnd"/>
      <w:r w:rsidRPr="00E45C23">
        <w:t xml:space="preserve"> en/of </w:t>
      </w:r>
      <w:proofErr w:type="spellStart"/>
      <w:r w:rsidRPr="00E45C23">
        <w:t>sustainability-linked</w:t>
      </w:r>
      <w:proofErr w:type="spellEnd"/>
      <w:r w:rsidRPr="00E45C23">
        <w:t xml:space="preserve"> </w:t>
      </w:r>
      <w:proofErr w:type="spellStart"/>
      <w:r w:rsidRPr="00E45C23">
        <w:t>bonds</w:t>
      </w:r>
      <w:proofErr w:type="spellEnd"/>
      <w:r w:rsidRPr="00E45C23">
        <w:t xml:space="preserve"> (Robeco, 2025)</w:t>
      </w:r>
      <w:r>
        <w:t>.</w:t>
      </w:r>
    </w:p>
    <w:p w14:paraId="5FF3A397" w14:textId="77777777" w:rsidR="00161DE2" w:rsidRPr="00E45C23" w:rsidRDefault="00161DE2" w:rsidP="00161DE2">
      <w:r w:rsidRPr="00E45C23">
        <w:t>Besluitvormingscriteria:</w:t>
      </w:r>
    </w:p>
    <w:p w14:paraId="20D7B0F3" w14:textId="77777777" w:rsidR="00161DE2" w:rsidRPr="00E45C23" w:rsidRDefault="00161DE2" w:rsidP="00161DE2">
      <w:pPr>
        <w:numPr>
          <w:ilvl w:val="0"/>
          <w:numId w:val="5"/>
        </w:numPr>
      </w:pPr>
      <w:r w:rsidRPr="00E45C23">
        <w:t>Uitsluitingen van bedrijven/landen die niet voldoen aan internationale normen of hoge duurzaamheidsrisico’s lopen (Robeco, 2025)</w:t>
      </w:r>
      <w:r>
        <w:t>.</w:t>
      </w:r>
    </w:p>
    <w:p w14:paraId="0DAC0CA2" w14:textId="77777777" w:rsidR="00161DE2" w:rsidRPr="00E45C23" w:rsidRDefault="00161DE2" w:rsidP="00161DE2">
      <w:pPr>
        <w:numPr>
          <w:ilvl w:val="0"/>
          <w:numId w:val="5"/>
        </w:numPr>
      </w:pPr>
      <w:r w:rsidRPr="00E45C23">
        <w:t>Positieve screening via SDG-rating: minimaal 30% van de obligaties hebben een SDG-rating van 1 of hoger en de gemiddelde SDG-rating is beter dan benchmark (Robeco, 2025)</w:t>
      </w:r>
      <w:r>
        <w:t>.</w:t>
      </w:r>
    </w:p>
    <w:p w14:paraId="1C6D58BA" w14:textId="77777777" w:rsidR="00161DE2" w:rsidRPr="00E45C23" w:rsidRDefault="00161DE2" w:rsidP="00161DE2">
      <w:pPr>
        <w:numPr>
          <w:ilvl w:val="0"/>
          <w:numId w:val="5"/>
        </w:numPr>
        <w:rPr>
          <w:lang w:val="en-US"/>
        </w:rPr>
      </w:pPr>
      <w:proofErr w:type="spellStart"/>
      <w:r w:rsidRPr="00E45C23">
        <w:rPr>
          <w:lang w:val="en-US"/>
        </w:rPr>
        <w:t>Beoordeling</w:t>
      </w:r>
      <w:proofErr w:type="spellEnd"/>
      <w:r w:rsidRPr="00E45C23">
        <w:rPr>
          <w:lang w:val="en-US"/>
        </w:rPr>
        <w:t xml:space="preserve"> van </w:t>
      </w:r>
      <w:proofErr w:type="spellStart"/>
      <w:r w:rsidRPr="00E45C23">
        <w:rPr>
          <w:lang w:val="en-US"/>
        </w:rPr>
        <w:t>landen</w:t>
      </w:r>
      <w:proofErr w:type="spellEnd"/>
      <w:r w:rsidRPr="00E45C23">
        <w:rPr>
          <w:lang w:val="en-US"/>
        </w:rPr>
        <w:t xml:space="preserve"> op Robeco Country Sustainability (Robeco, 2025)</w:t>
      </w:r>
      <w:r w:rsidRPr="00ED5C2A">
        <w:rPr>
          <w:lang w:val="en-US"/>
        </w:rPr>
        <w:t>.</w:t>
      </w:r>
    </w:p>
    <w:p w14:paraId="29F1A20D" w14:textId="77777777" w:rsidR="00161DE2" w:rsidRDefault="00161DE2" w:rsidP="00161DE2">
      <w:r w:rsidRPr="00E45C23">
        <w:t xml:space="preserve">Striktheid van de criteria: </w:t>
      </w:r>
    </w:p>
    <w:p w14:paraId="35E29554" w14:textId="77777777" w:rsidR="00161DE2" w:rsidRPr="00E45C23" w:rsidRDefault="00161DE2" w:rsidP="00161DE2">
      <w:pPr>
        <w:rPr>
          <w:b/>
          <w:bCs/>
        </w:rPr>
      </w:pPr>
      <w:r w:rsidRPr="00E45C23">
        <w:t xml:space="preserve">De criteria zijn vrij </w:t>
      </w:r>
      <w:r>
        <w:t>streng</w:t>
      </w:r>
      <w:r w:rsidRPr="00E45C23">
        <w:t>: er wordt vermeld dat bedrijven met lage ESG-score of betrokkenheid bij controverses worden uitgesloten. Ook geldt dat de gemiddelde SDG-</w:t>
      </w:r>
      <w:r w:rsidRPr="00E45C23">
        <w:lastRenderedPageBreak/>
        <w:t xml:space="preserve">rating beter moet zijn dan de markt. Dit past goed bij </w:t>
      </w:r>
      <w:proofErr w:type="spellStart"/>
      <w:r w:rsidRPr="00E45C23">
        <w:t>HuisjeBoompjeBeleggen</w:t>
      </w:r>
      <w:proofErr w:type="spellEnd"/>
      <w:r w:rsidRPr="00E45C23">
        <w:t xml:space="preserve">, waarin duurzaamheid </w:t>
      </w:r>
      <w:r>
        <w:t>e</w:t>
      </w:r>
      <w:r w:rsidRPr="00E45C23">
        <w:t>n rendement belangrijk zijn want de criteria zorgen voor duurzame selectie, terwijl de portefeuillebreedte en actieve strategie nog kansen biedt op rendement</w:t>
      </w:r>
      <w:r w:rsidRPr="00E45C23">
        <w:rPr>
          <w:b/>
          <w:bCs/>
        </w:rPr>
        <w:t>.</w:t>
      </w:r>
    </w:p>
    <w:p w14:paraId="508791BB" w14:textId="77777777" w:rsidR="00161DE2" w:rsidRPr="00E45C23" w:rsidRDefault="00161DE2" w:rsidP="00161DE2">
      <w:r w:rsidRPr="00E45C23">
        <w:rPr>
          <w:b/>
          <w:bCs/>
        </w:rPr>
        <w:t xml:space="preserve">Conclusie: </w:t>
      </w:r>
      <w:r w:rsidRPr="00E45C23">
        <w:t>Dit fonds sluit goed aan bij onze visie: duurzame beleggingen met aandacht voor rendement, via een duidelijke en relatief strikte duurzaamheidsaanpak.</w:t>
      </w:r>
    </w:p>
    <w:p w14:paraId="7BEE8115" w14:textId="77777777" w:rsidR="00161DE2" w:rsidRPr="00E45C23" w:rsidRDefault="00161DE2" w:rsidP="00161DE2">
      <w:pPr>
        <w:rPr>
          <w:b/>
          <w:bCs/>
        </w:rPr>
      </w:pPr>
    </w:p>
    <w:p w14:paraId="07DAEDC8" w14:textId="77777777" w:rsidR="00161DE2" w:rsidRPr="00E45C23" w:rsidRDefault="00161DE2" w:rsidP="00161DE2">
      <w:pPr>
        <w:rPr>
          <w:b/>
          <w:bCs/>
        </w:rPr>
      </w:pPr>
      <w:r w:rsidRPr="00E45C23">
        <w:rPr>
          <w:b/>
          <w:bCs/>
        </w:rPr>
        <w:t>5. Klimaatrisico’s (10%)</w:t>
      </w:r>
    </w:p>
    <w:p w14:paraId="74E0BB8A" w14:textId="77777777" w:rsidR="00161DE2" w:rsidRPr="00E45C23" w:rsidRDefault="00161DE2" w:rsidP="00161DE2">
      <w:r w:rsidRPr="00E45C23">
        <w:t xml:space="preserve">Het fonds geeft aan dat duurzaamheid-risico’s zijn </w:t>
      </w:r>
      <w:r>
        <w:t>toegepast</w:t>
      </w:r>
      <w:r w:rsidRPr="00E45C23">
        <w:t xml:space="preserve"> in het beleggingsproces en dat klimaat- en milieuvariabelen worden meegenomen door ESG-screening en uitsluitingen (Robeco, 2025)</w:t>
      </w:r>
      <w:r>
        <w:t>.</w:t>
      </w:r>
      <w:r w:rsidRPr="00E45C23">
        <w:t xml:space="preserve"> </w:t>
      </w:r>
      <w:r>
        <w:t xml:space="preserve">Maar </w:t>
      </w:r>
      <w:r w:rsidRPr="00E45C23">
        <w:t xml:space="preserve">er is minder publieke info over scenarioanalyses, zoals impact bij 1,5 °C-opwarming of fysieke klimaatrisico’s per regio. Dat betekent dat voor klanten die veel </w:t>
      </w:r>
      <w:r>
        <w:t>informatie</w:t>
      </w:r>
      <w:r w:rsidRPr="00E45C23">
        <w:t xml:space="preserve"> willen </w:t>
      </w:r>
      <w:r>
        <w:t>over</w:t>
      </w:r>
      <w:r w:rsidRPr="00E45C23">
        <w:t xml:space="preserve"> klimaatrisico’s</w:t>
      </w:r>
      <w:r>
        <w:t xml:space="preserve"> </w:t>
      </w:r>
      <w:r w:rsidRPr="00E45C23">
        <w:t>de informatie wat beperkt is.</w:t>
      </w:r>
    </w:p>
    <w:p w14:paraId="6C878B93" w14:textId="77777777" w:rsidR="00161DE2" w:rsidRPr="00E45C23" w:rsidRDefault="00161DE2" w:rsidP="00161DE2">
      <w:r w:rsidRPr="00E45C23">
        <w:rPr>
          <w:b/>
          <w:bCs/>
        </w:rPr>
        <w:t xml:space="preserve">Conclusie: </w:t>
      </w:r>
      <w:r w:rsidRPr="00E45C23">
        <w:t>De klimaatrisico-component is aanwezig, maar er is ruimte voor meer diepgaande rapportage of transparantie.</w:t>
      </w:r>
    </w:p>
    <w:p w14:paraId="27027CB7" w14:textId="77777777" w:rsidR="00161DE2" w:rsidRPr="00E45C23" w:rsidRDefault="00161DE2" w:rsidP="00161DE2">
      <w:pPr>
        <w:rPr>
          <w:b/>
          <w:bCs/>
        </w:rPr>
      </w:pPr>
    </w:p>
    <w:p w14:paraId="25774B21" w14:textId="77777777" w:rsidR="00161DE2" w:rsidRPr="00E45C23" w:rsidRDefault="00161DE2" w:rsidP="00161DE2">
      <w:pPr>
        <w:rPr>
          <w:b/>
          <w:bCs/>
        </w:rPr>
      </w:pPr>
      <w:r w:rsidRPr="00E45C23">
        <w:rPr>
          <w:b/>
          <w:bCs/>
        </w:rPr>
        <w:t>6. Klantcommunicatie (10%)</w:t>
      </w:r>
    </w:p>
    <w:p w14:paraId="6C89F1E0" w14:textId="77777777" w:rsidR="00161DE2" w:rsidRPr="00E45C23" w:rsidRDefault="00161DE2" w:rsidP="00161DE2">
      <w:r w:rsidRPr="00E45C23">
        <w:t xml:space="preserve">Robeco </w:t>
      </w:r>
      <w:r>
        <w:t>heeft</w:t>
      </w:r>
      <w:r w:rsidRPr="00E45C23">
        <w:t xml:space="preserve"> op </w:t>
      </w:r>
      <w:r>
        <w:t>de</w:t>
      </w:r>
      <w:r w:rsidRPr="00E45C23">
        <w:t xml:space="preserve"> website een </w:t>
      </w:r>
      <w:proofErr w:type="spellStart"/>
      <w:r w:rsidRPr="00E45C23">
        <w:t>factsheet</w:t>
      </w:r>
      <w:proofErr w:type="spellEnd"/>
      <w:r w:rsidRPr="00E45C23">
        <w:t xml:space="preserve"> en KIID in het Nederlands of Engels waarin de strategie, kosten, risico’s en duurzaamheidskenmerken worden vermeld (Robeco, 2025). De informatie is redelijk overzichtelijk, maar voor de gemiddelde klant kan de hoeveelheid </w:t>
      </w:r>
      <w:r>
        <w:t>van vreemde termen</w:t>
      </w:r>
      <w:r w:rsidRPr="00E45C23">
        <w:t xml:space="preserve"> en de details in de duurzaamheidscriteria wat </w:t>
      </w:r>
      <w:r>
        <w:t>onduidelijk</w:t>
      </w:r>
      <w:r w:rsidRPr="00E45C23">
        <w:t xml:space="preserve"> zijn.</w:t>
      </w:r>
    </w:p>
    <w:p w14:paraId="031103C2" w14:textId="77777777" w:rsidR="00161DE2" w:rsidRPr="00E45C23" w:rsidRDefault="00161DE2" w:rsidP="00161DE2">
      <w:r w:rsidRPr="00E45C23">
        <w:rPr>
          <w:b/>
          <w:bCs/>
        </w:rPr>
        <w:t xml:space="preserve">Conclusie: </w:t>
      </w:r>
      <w:r w:rsidRPr="00E45C23">
        <w:t xml:space="preserve">De klantcommunicatie is professioneel en compleet, maar kan nog toegankelijker worden gemaakt voor beleggers die minder </w:t>
      </w:r>
      <w:r>
        <w:t>bekend</w:t>
      </w:r>
      <w:r w:rsidRPr="00E45C23">
        <w:t xml:space="preserve"> zijn met financiële </w:t>
      </w:r>
      <w:r>
        <w:t>termen</w:t>
      </w:r>
      <w:r w:rsidRPr="00E45C23">
        <w:t>.</w:t>
      </w:r>
    </w:p>
    <w:p w14:paraId="3EC9D3D0" w14:textId="77777777" w:rsidR="00161DE2" w:rsidRPr="00E45C23" w:rsidRDefault="00161DE2" w:rsidP="00161DE2">
      <w:pPr>
        <w:rPr>
          <w:b/>
          <w:bCs/>
        </w:rPr>
      </w:pPr>
    </w:p>
    <w:p w14:paraId="5FCF9E17" w14:textId="77777777" w:rsidR="00161DE2" w:rsidRPr="00E45C23" w:rsidRDefault="00161DE2" w:rsidP="00161DE2">
      <w:pPr>
        <w:rPr>
          <w:b/>
          <w:bCs/>
        </w:rPr>
      </w:pPr>
    </w:p>
    <w:p w14:paraId="3AF0CCCB" w14:textId="77777777" w:rsidR="00161DE2" w:rsidRPr="00E45C23" w:rsidRDefault="00161DE2" w:rsidP="00161DE2">
      <w:pPr>
        <w:rPr>
          <w:b/>
          <w:bCs/>
        </w:rPr>
      </w:pPr>
    </w:p>
    <w:p w14:paraId="42ED6BED" w14:textId="77777777" w:rsidR="00161DE2" w:rsidRPr="00E45C23" w:rsidRDefault="00161DE2" w:rsidP="00161DE2">
      <w:pPr>
        <w:rPr>
          <w:b/>
          <w:bCs/>
        </w:rPr>
      </w:pPr>
    </w:p>
    <w:p w14:paraId="29523752" w14:textId="77777777" w:rsidR="00161DE2" w:rsidRPr="00E45C23" w:rsidRDefault="00161DE2" w:rsidP="00161DE2">
      <w:pPr>
        <w:rPr>
          <w:b/>
          <w:bCs/>
        </w:rPr>
      </w:pPr>
    </w:p>
    <w:p w14:paraId="5220FE8F" w14:textId="77777777" w:rsidR="00161DE2" w:rsidRPr="00E45C23" w:rsidRDefault="00161DE2" w:rsidP="00161DE2">
      <w:pPr>
        <w:rPr>
          <w:b/>
          <w:bCs/>
        </w:rPr>
      </w:pPr>
    </w:p>
    <w:p w14:paraId="56D28F83" w14:textId="77777777" w:rsidR="00161DE2" w:rsidRPr="00E45C23" w:rsidRDefault="00161DE2" w:rsidP="00161DE2">
      <w:pPr>
        <w:rPr>
          <w:b/>
          <w:bCs/>
        </w:rPr>
      </w:pPr>
    </w:p>
    <w:p w14:paraId="66D86D14" w14:textId="77777777" w:rsidR="00161DE2" w:rsidRPr="00E45C23" w:rsidRDefault="00161DE2" w:rsidP="00161DE2">
      <w:pPr>
        <w:rPr>
          <w:b/>
          <w:bCs/>
        </w:rPr>
      </w:pPr>
    </w:p>
    <w:p w14:paraId="17DD85F7" w14:textId="77777777" w:rsidR="00161DE2" w:rsidRPr="00AA15C0" w:rsidRDefault="00161DE2" w:rsidP="00161DE2">
      <w:pPr>
        <w:rPr>
          <w:b/>
          <w:bCs/>
          <w:sz w:val="28"/>
          <w:szCs w:val="28"/>
        </w:rPr>
      </w:pPr>
      <w:r w:rsidRPr="00AA15C0">
        <w:rPr>
          <w:b/>
          <w:bCs/>
          <w:sz w:val="28"/>
          <w:szCs w:val="28"/>
        </w:rPr>
        <w:lastRenderedPageBreak/>
        <w:t xml:space="preserve">ASN impact </w:t>
      </w:r>
      <w:proofErr w:type="spellStart"/>
      <w:r w:rsidRPr="00AA15C0">
        <w:rPr>
          <w:b/>
          <w:bCs/>
          <w:sz w:val="28"/>
          <w:szCs w:val="28"/>
        </w:rPr>
        <w:t>investors</w:t>
      </w:r>
      <w:proofErr w:type="spellEnd"/>
      <w:r w:rsidRPr="00AA15C0">
        <w:rPr>
          <w:b/>
          <w:bCs/>
          <w:sz w:val="28"/>
          <w:szCs w:val="28"/>
        </w:rPr>
        <w:t>: ASN Duurzaam Obligatiefonds R NL0014270209</w:t>
      </w:r>
    </w:p>
    <w:p w14:paraId="28690536" w14:textId="77777777" w:rsidR="00161DE2" w:rsidRDefault="00161DE2" w:rsidP="00161DE2">
      <w:pPr>
        <w:rPr>
          <w:b/>
          <w:bCs/>
        </w:rPr>
      </w:pPr>
    </w:p>
    <w:p w14:paraId="5FF9B019" w14:textId="77777777" w:rsidR="00161DE2" w:rsidRPr="00AA15C0" w:rsidRDefault="00161DE2" w:rsidP="00161DE2">
      <w:pPr>
        <w:rPr>
          <w:b/>
          <w:bCs/>
        </w:rPr>
      </w:pPr>
      <w:r w:rsidRPr="00AA15C0">
        <w:rPr>
          <w:b/>
          <w:bCs/>
        </w:rPr>
        <w:t>1. Communicatie van de beleggingsstrategie (10%)</w:t>
      </w:r>
    </w:p>
    <w:p w14:paraId="08E593DD" w14:textId="77777777" w:rsidR="00161DE2" w:rsidRDefault="00161DE2" w:rsidP="00161DE2">
      <w:r w:rsidRPr="00AA15C0">
        <w:t xml:space="preserve">ASN legt duidelijk uit dat het fonds belegt in euro-obligaties van overheden en in groene en sociale obligaties die voldoen aan strenge duurzaamheidscriteria (ASN Beleggingsfondsen, 2025). Daarnaast </w:t>
      </w:r>
      <w:r>
        <w:t>verteld</w:t>
      </w:r>
      <w:r w:rsidRPr="00AA15C0">
        <w:t xml:space="preserve"> ASN dat het fonds gericht is op lange-termijn vermogensgroei, waarbij eerst wordt beoordeeld of landen voldoen aan duurzaamheidsnormen, en daarna actief wordt gestuurd op rente- en kredietrisico’s (ASN Bank, 2025). De strategie wordt helder </w:t>
      </w:r>
      <w:r>
        <w:t>uitgelegd</w:t>
      </w:r>
      <w:r w:rsidRPr="00AA15C0">
        <w:t xml:space="preserve">, maar ASN geeft weinig inzicht in individuele selectie-beslissingen, </w:t>
      </w:r>
      <w:r>
        <w:t>dit is wel</w:t>
      </w:r>
      <w:r w:rsidRPr="00AA15C0">
        <w:t xml:space="preserve"> gebruikelijk voor dit type fonds.</w:t>
      </w:r>
      <w:r>
        <w:t xml:space="preserve"> Verder is de website erg onoverzichtelijk en is de informatie lastig te vinden.</w:t>
      </w:r>
    </w:p>
    <w:p w14:paraId="6A664486" w14:textId="77777777" w:rsidR="00161DE2" w:rsidRPr="00AA15C0" w:rsidRDefault="00161DE2" w:rsidP="00161DE2">
      <w:r w:rsidRPr="00AA15C0">
        <w:br/>
      </w:r>
      <w:r w:rsidRPr="00AA15C0">
        <w:rPr>
          <w:b/>
          <w:bCs/>
        </w:rPr>
        <w:t>Conclusie:</w:t>
      </w:r>
      <w:r w:rsidRPr="00AA15C0">
        <w:t xml:space="preserve"> duidelijke en transparante strategie-uitleg, maar beperkte toelichting op individuele transacties</w:t>
      </w:r>
      <w:r>
        <w:t xml:space="preserve"> en een onduidelijke website</w:t>
      </w:r>
    </w:p>
    <w:p w14:paraId="705FAE34" w14:textId="77777777" w:rsidR="00161DE2" w:rsidRPr="00AA15C0" w:rsidRDefault="00161DE2" w:rsidP="00161DE2">
      <w:pPr>
        <w:rPr>
          <w:b/>
          <w:bCs/>
        </w:rPr>
      </w:pPr>
    </w:p>
    <w:p w14:paraId="21AB05D1" w14:textId="77777777" w:rsidR="00161DE2" w:rsidRPr="00AA15C0" w:rsidRDefault="00161DE2" w:rsidP="00161DE2">
      <w:pPr>
        <w:rPr>
          <w:b/>
          <w:bCs/>
        </w:rPr>
      </w:pPr>
      <w:r w:rsidRPr="00AA15C0">
        <w:rPr>
          <w:b/>
          <w:bCs/>
        </w:rPr>
        <w:t>2. Historische risico/rendementsverhouding (25%)</w:t>
      </w:r>
    </w:p>
    <w:p w14:paraId="390ADF65" w14:textId="77777777" w:rsidR="00161DE2" w:rsidRDefault="00161DE2" w:rsidP="00161DE2">
      <w:pPr>
        <w:rPr>
          <w:b/>
          <w:bCs/>
        </w:rPr>
      </w:pPr>
      <w:r w:rsidRPr="00AA15C0">
        <w:t xml:space="preserve">De </w:t>
      </w:r>
      <w:proofErr w:type="spellStart"/>
      <w:r w:rsidRPr="00AA15C0">
        <w:t>factsheet</w:t>
      </w:r>
      <w:proofErr w:type="spellEnd"/>
      <w:r w:rsidRPr="00AA15C0">
        <w:t xml:space="preserve"> toont de rendementen over verschillende periodes, waaronder de laatste 3 en 5 jaar (ASN Beleggingsfondsen, 2025). De prestaties liggen iets onder de benchmark, wat aangeeft dat marktbewegingen en renteontwikkelingen impact hebben gehad. Omdat het fonds uitsluitend in euro-obligaties belegt, speelt valutarisico geen rol, maar renterisico en kredietwaardigheid wel. Een officiële </w:t>
      </w:r>
      <w:proofErr w:type="spellStart"/>
      <w:r w:rsidRPr="00AA15C0">
        <w:t>beta</w:t>
      </w:r>
      <w:proofErr w:type="spellEnd"/>
      <w:r w:rsidRPr="00AA15C0">
        <w:t>-waarde wordt door ASN niet gepubliceerd, waardoor deze risicomaatstaf ontbreekt (ASN Beleggingsfondsen, 2025b).</w:t>
      </w:r>
      <w:r>
        <w:t xml:space="preserve"> Volgens </w:t>
      </w:r>
      <w:proofErr w:type="spellStart"/>
      <w:r>
        <w:t>Morningstar</w:t>
      </w:r>
      <w:proofErr w:type="spellEnd"/>
      <w:r>
        <w:t xml:space="preserve"> zit die in de categorie van 0,88, wat redelijk laag is (</w:t>
      </w:r>
      <w:proofErr w:type="spellStart"/>
      <w:r>
        <w:t>Morningstar</w:t>
      </w:r>
      <w:proofErr w:type="spellEnd"/>
      <w:r>
        <w:t>, 2025).</w:t>
      </w:r>
    </w:p>
    <w:p w14:paraId="7128EF91" w14:textId="77777777" w:rsidR="00161DE2" w:rsidRPr="00AA15C0" w:rsidRDefault="00161DE2" w:rsidP="00161DE2">
      <w:r w:rsidRPr="00AA15C0">
        <w:rPr>
          <w:b/>
          <w:bCs/>
        </w:rPr>
        <w:br/>
        <w:t xml:space="preserve">Conclusie: </w:t>
      </w:r>
      <w:r w:rsidRPr="00AA15C0">
        <w:t xml:space="preserve">voldoende risico- en rendementsinformatie, maar de afwezigheid van </w:t>
      </w:r>
      <w:proofErr w:type="spellStart"/>
      <w:r w:rsidRPr="00AA15C0">
        <w:t>beta</w:t>
      </w:r>
      <w:proofErr w:type="spellEnd"/>
      <w:r w:rsidRPr="00AA15C0">
        <w:t xml:space="preserve"> is een nadeel voor een volledige risicobeoordeling</w:t>
      </w:r>
      <w:r>
        <w:rPr>
          <w:b/>
          <w:bCs/>
        </w:rPr>
        <w:t xml:space="preserve"> </w:t>
      </w:r>
      <w:r>
        <w:t>en geeft een incompleet gevoel van de informatie en dus ook de transparantie.</w:t>
      </w:r>
    </w:p>
    <w:p w14:paraId="4A7B91A0" w14:textId="77777777" w:rsidR="00161DE2" w:rsidRPr="00AA15C0" w:rsidRDefault="00161DE2" w:rsidP="00161DE2">
      <w:pPr>
        <w:rPr>
          <w:b/>
          <w:bCs/>
        </w:rPr>
      </w:pPr>
    </w:p>
    <w:p w14:paraId="018E7C06" w14:textId="77777777" w:rsidR="00161DE2" w:rsidRPr="00AA15C0" w:rsidRDefault="00161DE2" w:rsidP="00161DE2">
      <w:pPr>
        <w:rPr>
          <w:b/>
          <w:bCs/>
        </w:rPr>
      </w:pPr>
      <w:r w:rsidRPr="00AA15C0">
        <w:rPr>
          <w:b/>
          <w:bCs/>
        </w:rPr>
        <w:t>3. Kosten (15%)</w:t>
      </w:r>
    </w:p>
    <w:p w14:paraId="52389DF0" w14:textId="77777777" w:rsidR="00161DE2" w:rsidRDefault="00161DE2" w:rsidP="00161DE2">
      <w:r w:rsidRPr="00AA15C0">
        <w:t>De lopende kosten bedragen 0,</w:t>
      </w:r>
      <w:r>
        <w:t>3</w:t>
      </w:r>
      <w:r w:rsidRPr="00AA15C0">
        <w:t>5% per jaar</w:t>
      </w:r>
      <w:r>
        <w:t xml:space="preserve"> volgens de </w:t>
      </w:r>
      <w:proofErr w:type="spellStart"/>
      <w:r>
        <w:t>factsheet</w:t>
      </w:r>
      <w:proofErr w:type="spellEnd"/>
      <w:r w:rsidRPr="00AA15C0">
        <w:t xml:space="preserve"> (ASN Beleggingsfondsen, 2025). Daarnaast rekent ASN voor klanten van de bank maximaal 0,30% servicekosten (ASN Bank, 2025). Hierdoor zijn de kosten totaal redelijk voor een actief duurzaam obligatiefonds, maar hoger dan die van veel passieve obligatie-</w:t>
      </w:r>
      <w:proofErr w:type="spellStart"/>
      <w:r w:rsidRPr="00AA15C0">
        <w:t>ETF’s</w:t>
      </w:r>
      <w:proofErr w:type="spellEnd"/>
      <w:r w:rsidRPr="00AA15C0">
        <w:t>.</w:t>
      </w:r>
    </w:p>
    <w:p w14:paraId="610FDD06" w14:textId="77777777" w:rsidR="00161DE2" w:rsidRPr="00AA15C0" w:rsidRDefault="00161DE2" w:rsidP="00161DE2">
      <w:r w:rsidRPr="00AA15C0">
        <w:lastRenderedPageBreak/>
        <w:br/>
      </w:r>
      <w:r w:rsidRPr="00AA15C0">
        <w:rPr>
          <w:b/>
          <w:bCs/>
        </w:rPr>
        <w:t xml:space="preserve">Conclusie: </w:t>
      </w:r>
      <w:r w:rsidRPr="00AA15C0">
        <w:t>kosten zijn acceptabel, maar niet extreem laag; wel passend binnen actief duurzaam beheer.</w:t>
      </w:r>
    </w:p>
    <w:p w14:paraId="389F1682" w14:textId="77777777" w:rsidR="00161DE2" w:rsidRPr="00AA15C0" w:rsidRDefault="00161DE2" w:rsidP="00161DE2">
      <w:pPr>
        <w:rPr>
          <w:b/>
          <w:bCs/>
        </w:rPr>
      </w:pPr>
    </w:p>
    <w:p w14:paraId="4A2F3F36" w14:textId="77777777" w:rsidR="00161DE2" w:rsidRPr="00AA15C0" w:rsidRDefault="00161DE2" w:rsidP="00161DE2">
      <w:pPr>
        <w:rPr>
          <w:b/>
          <w:bCs/>
        </w:rPr>
      </w:pPr>
      <w:r w:rsidRPr="00AA15C0">
        <w:rPr>
          <w:b/>
          <w:bCs/>
        </w:rPr>
        <w:t xml:space="preserve">4. </w:t>
      </w:r>
      <w:r w:rsidRPr="00E45C23">
        <w:rPr>
          <w:b/>
          <w:bCs/>
        </w:rPr>
        <w:t xml:space="preserve">Aansluiting bij de strategie van het adviesbureau </w:t>
      </w:r>
      <w:r w:rsidRPr="00AA15C0">
        <w:rPr>
          <w:b/>
          <w:bCs/>
        </w:rPr>
        <w:t>(30%)</w:t>
      </w:r>
    </w:p>
    <w:p w14:paraId="1198C71F" w14:textId="77777777" w:rsidR="00161DE2" w:rsidRPr="00AA15C0" w:rsidRDefault="00161DE2" w:rsidP="00161DE2">
      <w:r w:rsidRPr="00AA15C0">
        <w:t xml:space="preserve">Voor </w:t>
      </w:r>
      <w:proofErr w:type="spellStart"/>
      <w:r w:rsidRPr="00AA15C0">
        <w:t>HuisjeBoompjeBeleggen</w:t>
      </w:r>
      <w:proofErr w:type="spellEnd"/>
      <w:r w:rsidRPr="00AA15C0">
        <w:t xml:space="preserve"> is duurzaamheid belangrijk, maar een goed rendement blijft </w:t>
      </w:r>
      <w:r>
        <w:t>ook van belang</w:t>
      </w:r>
      <w:r w:rsidRPr="00AA15C0">
        <w:t>. Het ASN Duurzaam Obligatiefonds sluit hier goed op aan.</w:t>
      </w:r>
    </w:p>
    <w:p w14:paraId="2D1BB532" w14:textId="77777777" w:rsidR="00161DE2" w:rsidRPr="00AA15C0" w:rsidRDefault="00161DE2" w:rsidP="00161DE2">
      <w:r w:rsidRPr="00AA15C0">
        <w:t>Duurzaamheidsbeleid</w:t>
      </w:r>
    </w:p>
    <w:p w14:paraId="1B031D34" w14:textId="77777777" w:rsidR="00161DE2" w:rsidRPr="00AA15C0" w:rsidRDefault="00161DE2" w:rsidP="00161DE2">
      <w:r w:rsidRPr="00AA15C0">
        <w:t>Het fonds beoordeelt landen op drie ASN-pijlers: klimaat, biodiversiteit en mensenrechten (ASN Beleggingsfondsen, 2025). Alleen landen die aan minimale duurzaamheidsnormen voldoen, komen in aanmerking. Het fonds belegt daarnaast in groene en sociale obligaties om duurzame projecten te ondersteunen (ASN Beleggingsfondsen, 2025).</w:t>
      </w:r>
    </w:p>
    <w:p w14:paraId="618405CB" w14:textId="77777777" w:rsidR="00161DE2" w:rsidRPr="00AA15C0" w:rsidRDefault="00161DE2" w:rsidP="00161DE2">
      <w:r w:rsidRPr="00AA15C0">
        <w:t>Besluitvormingscriteria</w:t>
      </w:r>
    </w:p>
    <w:p w14:paraId="20DF158A" w14:textId="77777777" w:rsidR="00161DE2" w:rsidRPr="00AA15C0" w:rsidRDefault="00161DE2" w:rsidP="00161DE2">
      <w:r w:rsidRPr="00AA15C0">
        <w:t>Het fonds hanteert duidelijke uitsluitingen, zoals landen die mensenrechten ernstig schenden of onvoldoende duurzaamheidsbeleid voeren. De selectie is gebaseerd op ESG-integratie en positieve screening</w:t>
      </w:r>
      <w:r>
        <w:t xml:space="preserve"> </w:t>
      </w:r>
      <w:r w:rsidRPr="00AA15C0">
        <w:t xml:space="preserve">omdat alleen landen met voldoende duurzame prestaties worden </w:t>
      </w:r>
      <w:r>
        <w:t>geselecteerd voor het fonds</w:t>
      </w:r>
      <w:r w:rsidRPr="00AA15C0">
        <w:t xml:space="preserve"> (ASN Bank, 2025).</w:t>
      </w:r>
    </w:p>
    <w:p w14:paraId="294A0BFA" w14:textId="77777777" w:rsidR="00161DE2" w:rsidRPr="00AA15C0" w:rsidRDefault="00161DE2" w:rsidP="00161DE2">
      <w:r w:rsidRPr="00AA15C0">
        <w:t>Striktheid van criteria</w:t>
      </w:r>
    </w:p>
    <w:p w14:paraId="18BA3C2E" w14:textId="77777777" w:rsidR="00161DE2" w:rsidRDefault="00161DE2" w:rsidP="00161DE2">
      <w:r w:rsidRPr="00AA15C0">
        <w:t xml:space="preserve">De criteria zijn </w:t>
      </w:r>
      <w:r>
        <w:t>best</w:t>
      </w:r>
      <w:r w:rsidRPr="00AA15C0">
        <w:t xml:space="preserve"> streng: landen die niet voldoen aan internationale verdragen of ASN-eisen worden volledig uitgesloten, en er wordt </w:t>
      </w:r>
      <w:r>
        <w:t>alleen</w:t>
      </w:r>
      <w:r w:rsidRPr="00AA15C0">
        <w:t xml:space="preserve"> gekozen voor een duurzaamheidsgerichte portefeuille. Dit past goed bij de visie van </w:t>
      </w:r>
      <w:proofErr w:type="spellStart"/>
      <w:r w:rsidRPr="00AA15C0">
        <w:t>HuisjeBoompjeBeleggen</w:t>
      </w:r>
      <w:proofErr w:type="spellEnd"/>
      <w:r w:rsidRPr="00AA15C0">
        <w:t>, omdat het zowel duurzaamheid borgt als risico’s beheersbaar houdt.</w:t>
      </w:r>
    </w:p>
    <w:p w14:paraId="3BA379B1" w14:textId="77777777" w:rsidR="00161DE2" w:rsidRPr="00AA15C0" w:rsidRDefault="00161DE2" w:rsidP="00161DE2">
      <w:r w:rsidRPr="00AA15C0">
        <w:br/>
      </w:r>
      <w:r w:rsidRPr="00AA15C0">
        <w:rPr>
          <w:b/>
          <w:bCs/>
        </w:rPr>
        <w:t xml:space="preserve">Conclusie: </w:t>
      </w:r>
      <w:r w:rsidRPr="00AA15C0">
        <w:t>het fonds sluit inhoudelijk goed aan bij onze visie, maar mist wereldwijde spreiding omdat ASN geen wereldwijd duurzaam obligatiefonds aanbiedt.</w:t>
      </w:r>
      <w:r>
        <w:t xml:space="preserve"> Dat is wel een groot minpunt.</w:t>
      </w:r>
    </w:p>
    <w:p w14:paraId="098051FF" w14:textId="77777777" w:rsidR="00161DE2" w:rsidRPr="00AA15C0" w:rsidRDefault="00161DE2" w:rsidP="00161DE2">
      <w:pPr>
        <w:rPr>
          <w:b/>
          <w:bCs/>
        </w:rPr>
      </w:pPr>
    </w:p>
    <w:p w14:paraId="1AD65D2F" w14:textId="77777777" w:rsidR="00161DE2" w:rsidRPr="00AA15C0" w:rsidRDefault="00161DE2" w:rsidP="00161DE2">
      <w:pPr>
        <w:rPr>
          <w:b/>
          <w:bCs/>
        </w:rPr>
      </w:pPr>
      <w:r w:rsidRPr="00AA15C0">
        <w:rPr>
          <w:b/>
          <w:bCs/>
        </w:rPr>
        <w:t>5. Klimaatrisico’s (10%)</w:t>
      </w:r>
    </w:p>
    <w:p w14:paraId="2CC19ABC" w14:textId="77777777" w:rsidR="00161DE2" w:rsidRPr="00AA15C0" w:rsidRDefault="00161DE2" w:rsidP="00161DE2">
      <w:r w:rsidRPr="00AA15C0">
        <w:t xml:space="preserve">ASN beschrijft dat het fonds landen selecteert op klimaatbeleid en CO₂-reductie, </w:t>
      </w:r>
      <w:r>
        <w:t>hierdoor worden</w:t>
      </w:r>
      <w:r w:rsidRPr="00AA15C0">
        <w:t xml:space="preserve"> klimaatrisico’s meegenomen in de portefeuille (ASN Bank, 2025). Wel ontbreekt diepgaande klimaatrapportage, zoals scenarioanalyses van opwarming of fysieke klimaatrisico’s.</w:t>
      </w:r>
      <w:r w:rsidRPr="00AA15C0">
        <w:rPr>
          <w:b/>
          <w:bCs/>
        </w:rPr>
        <w:br/>
      </w:r>
      <w:r w:rsidRPr="00AA15C0">
        <w:rPr>
          <w:b/>
          <w:bCs/>
        </w:rPr>
        <w:lastRenderedPageBreak/>
        <w:t xml:space="preserve">Conclusie: </w:t>
      </w:r>
      <w:r w:rsidRPr="00AA15C0">
        <w:t>er is aandacht voor klimaatrisico’s, maar de informatie is minder diepgaand dan sommige beleggers zouden wensen.</w:t>
      </w:r>
    </w:p>
    <w:p w14:paraId="1A59DCCA" w14:textId="77777777" w:rsidR="00161DE2" w:rsidRPr="00AA15C0" w:rsidRDefault="00161DE2" w:rsidP="00161DE2">
      <w:pPr>
        <w:rPr>
          <w:b/>
          <w:bCs/>
        </w:rPr>
      </w:pPr>
    </w:p>
    <w:p w14:paraId="0477F798" w14:textId="77777777" w:rsidR="00161DE2" w:rsidRPr="00AA15C0" w:rsidRDefault="00161DE2" w:rsidP="00161DE2">
      <w:pPr>
        <w:rPr>
          <w:b/>
          <w:bCs/>
        </w:rPr>
      </w:pPr>
      <w:r w:rsidRPr="00AA15C0">
        <w:rPr>
          <w:b/>
          <w:bCs/>
        </w:rPr>
        <w:t>6. Klantcommunicatie (10%)</w:t>
      </w:r>
    </w:p>
    <w:p w14:paraId="09623D44" w14:textId="77777777" w:rsidR="00161DE2" w:rsidRDefault="00161DE2" w:rsidP="00161DE2">
      <w:pPr>
        <w:rPr>
          <w:b/>
          <w:bCs/>
        </w:rPr>
      </w:pPr>
      <w:r w:rsidRPr="00AA15C0">
        <w:t xml:space="preserve">ASN communiceert helder en in begrijpelijke taal. De </w:t>
      </w:r>
      <w:proofErr w:type="spellStart"/>
      <w:r w:rsidRPr="00AA15C0">
        <w:t>factsheets</w:t>
      </w:r>
      <w:proofErr w:type="spellEnd"/>
      <w:r w:rsidRPr="00AA15C0">
        <w:t xml:space="preserve">, maandberichten en duurzaamheidsrapportages zijn eenvoudig te vinden en in het Nederlands beschikbaar (ASN Bank, 2025). De informatie is overzichtelijk, al bevat het fondsdocument soms </w:t>
      </w:r>
      <w:r>
        <w:t>vaktermen</w:t>
      </w:r>
      <w:r w:rsidRPr="00AA15C0">
        <w:t xml:space="preserve"> die extra uitleg </w:t>
      </w:r>
      <w:r>
        <w:t>vragen voor mensen die dat niet begrijpen</w:t>
      </w:r>
      <w:r w:rsidRPr="00AA15C0">
        <w:t>.</w:t>
      </w:r>
      <w:r>
        <w:t xml:space="preserve"> Verder vinden we de website van ASN erg onoverzichtelijk. Je ziet niet snel in één oogopslag wat je nou zoekt. </w:t>
      </w:r>
      <w:proofErr w:type="spellStart"/>
      <w:r>
        <w:t>BlackRock</w:t>
      </w:r>
      <w:proofErr w:type="spellEnd"/>
      <w:r>
        <w:t xml:space="preserve"> en Robeco doen dit overduidelijk een stuk beter.</w:t>
      </w:r>
    </w:p>
    <w:p w14:paraId="18D51247" w14:textId="77777777" w:rsidR="00161DE2" w:rsidRPr="00AA15C0" w:rsidRDefault="00161DE2" w:rsidP="00161DE2">
      <w:pPr>
        <w:rPr>
          <w:b/>
          <w:bCs/>
        </w:rPr>
      </w:pPr>
      <w:r w:rsidRPr="00AA15C0">
        <w:rPr>
          <w:b/>
          <w:bCs/>
        </w:rPr>
        <w:br/>
        <w:t xml:space="preserve">Conclusie: </w:t>
      </w:r>
      <w:r w:rsidRPr="00AA15C0">
        <w:t>sterke klantcommunicatie</w:t>
      </w:r>
      <w:r>
        <w:t>,</w:t>
      </w:r>
      <w:r w:rsidRPr="00AA15C0">
        <w:t xml:space="preserve"> transparant, duidelijk en goed vindbaar.</w:t>
      </w:r>
      <w:r>
        <w:t xml:space="preserve"> De website is wel een minpunt, deze kan een stuk overzichtelijker als je hem vergelijkt met concurrenten.</w:t>
      </w:r>
    </w:p>
    <w:p w14:paraId="412AE697" w14:textId="77777777" w:rsidR="00161DE2" w:rsidRPr="00E45C23" w:rsidRDefault="00161DE2" w:rsidP="00161DE2">
      <w:pPr>
        <w:rPr>
          <w:b/>
          <w:bCs/>
        </w:rPr>
      </w:pPr>
    </w:p>
    <w:p w14:paraId="25DCFC8F" w14:textId="77777777" w:rsidR="00161DE2" w:rsidRDefault="00161DE2" w:rsidP="00161DE2">
      <w:pPr>
        <w:rPr>
          <w:b/>
          <w:bCs/>
          <w:sz w:val="28"/>
          <w:szCs w:val="28"/>
        </w:rPr>
      </w:pPr>
      <w:r w:rsidRPr="00E661ED">
        <w:rPr>
          <w:b/>
          <w:bCs/>
          <w:sz w:val="28"/>
          <w:szCs w:val="28"/>
        </w:rPr>
        <w:t>Ingevulde matrix</w:t>
      </w:r>
    </w:p>
    <w:p w14:paraId="29D1BB4A" w14:textId="77777777" w:rsidR="00161DE2" w:rsidRDefault="00161DE2" w:rsidP="00161DE2">
      <w:r w:rsidRPr="00752AB1">
        <w:rPr>
          <w:noProof/>
        </w:rPr>
        <w:drawing>
          <wp:anchor distT="0" distB="0" distL="114300" distR="114300" simplePos="0" relativeHeight="251659264" behindDoc="0" locked="0" layoutInCell="1" allowOverlap="1" wp14:anchorId="532B93F8" wp14:editId="49D86AA2">
            <wp:simplePos x="0" y="0"/>
            <wp:positionH relativeFrom="margin">
              <wp:posOffset>-541655</wp:posOffset>
            </wp:positionH>
            <wp:positionV relativeFrom="paragraph">
              <wp:posOffset>803275</wp:posOffset>
            </wp:positionV>
            <wp:extent cx="6927850" cy="1371600"/>
            <wp:effectExtent l="0" t="0" r="6350" b="0"/>
            <wp:wrapSquare wrapText="bothSides"/>
            <wp:docPr id="1377343162" name="Afbeelding 1" descr="Afbeelding met tekst, schermopname, lijn,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343162" name="Afbeelding 1" descr="Afbeelding met tekst, schermopname, lijn, nummer&#10;&#10;Door AI gegenereerde inhoud is mogelijk onjuist."/>
                    <pic:cNvPicPr/>
                  </pic:nvPicPr>
                  <pic:blipFill>
                    <a:blip r:embed="rId6">
                      <a:extLst>
                        <a:ext uri="{28A0092B-C50C-407E-A947-70E740481C1C}">
                          <a14:useLocalDpi xmlns:a14="http://schemas.microsoft.com/office/drawing/2010/main" val="0"/>
                        </a:ext>
                      </a:extLst>
                    </a:blip>
                    <a:stretch>
                      <a:fillRect/>
                    </a:stretch>
                  </pic:blipFill>
                  <pic:spPr>
                    <a:xfrm>
                      <a:off x="0" y="0"/>
                      <a:ext cx="6927850" cy="1371600"/>
                    </a:xfrm>
                    <a:prstGeom prst="rect">
                      <a:avLst/>
                    </a:prstGeom>
                  </pic:spPr>
                </pic:pic>
              </a:graphicData>
            </a:graphic>
            <wp14:sizeRelH relativeFrom="margin">
              <wp14:pctWidth>0</wp14:pctWidth>
            </wp14:sizeRelH>
            <wp14:sizeRelV relativeFrom="margin">
              <wp14:pctHeight>0</wp14:pctHeight>
            </wp14:sizeRelV>
          </wp:anchor>
        </w:drawing>
      </w:r>
      <w:r>
        <w:t xml:space="preserve">Nu de analyse gedaan is kan de matrix ingevuld worden, op basis daarvan wordt een fonds gekozen die zal worden opgenomen in de portefeuille van obligaties voor </w:t>
      </w:r>
      <w:proofErr w:type="spellStart"/>
      <w:r>
        <w:t>HuisjeBoompjeBeleggen</w:t>
      </w:r>
      <w:proofErr w:type="spellEnd"/>
      <w:r>
        <w:t>.</w:t>
      </w:r>
    </w:p>
    <w:p w14:paraId="6E0AC857" w14:textId="77777777" w:rsidR="00161DE2" w:rsidRDefault="00161DE2" w:rsidP="00161DE2"/>
    <w:p w14:paraId="2EB4B63B" w14:textId="77777777" w:rsidR="00161DE2" w:rsidRPr="00990C8C" w:rsidRDefault="00161DE2" w:rsidP="00161DE2">
      <w:pPr>
        <w:rPr>
          <w:b/>
          <w:bCs/>
          <w:sz w:val="28"/>
          <w:szCs w:val="28"/>
          <w:lang w:val="en-US"/>
        </w:rPr>
      </w:pPr>
      <w:r w:rsidRPr="00990C8C">
        <w:rPr>
          <w:b/>
          <w:bCs/>
          <w:sz w:val="28"/>
          <w:szCs w:val="28"/>
          <w:lang w:val="en-US"/>
        </w:rPr>
        <w:t>1. BlackRock – iShares Global Aggregate Bond ESG SRI UCITS ETF</w:t>
      </w:r>
    </w:p>
    <w:p w14:paraId="65BFBC64" w14:textId="77777777" w:rsidR="00161DE2" w:rsidRPr="00990C8C" w:rsidRDefault="00161DE2" w:rsidP="00161DE2">
      <w:pPr>
        <w:rPr>
          <w:b/>
          <w:bCs/>
        </w:rPr>
      </w:pPr>
      <w:r w:rsidRPr="00990C8C">
        <w:rPr>
          <w:b/>
          <w:bCs/>
        </w:rPr>
        <w:t>Communicatiestrategie – 8/10</w:t>
      </w:r>
    </w:p>
    <w:p w14:paraId="07AB22B2" w14:textId="77777777" w:rsidR="00161DE2" w:rsidRPr="00990C8C" w:rsidRDefault="00161DE2" w:rsidP="00161DE2">
      <w:proofErr w:type="spellStart"/>
      <w:r w:rsidRPr="00990C8C">
        <w:t>BlackRock</w:t>
      </w:r>
      <w:proofErr w:type="spellEnd"/>
      <w:r w:rsidRPr="00990C8C">
        <w:t xml:space="preserve"> legt heel duidelijk uit hoe het fonds werkt. De strategie, duurzaamheidscriteria en indexmethodologie worden overzichtelijk gepresenteerd. Omdat het een passief fonds is, worden individuele transactiekeuzes niet toegelicht. Dit is logisch, maar zorgt wel voor iets minder diepgang.</w:t>
      </w:r>
    </w:p>
    <w:p w14:paraId="4B5EBC63" w14:textId="77777777" w:rsidR="00161DE2" w:rsidRDefault="00161DE2" w:rsidP="00161DE2">
      <w:pPr>
        <w:rPr>
          <w:b/>
          <w:bCs/>
        </w:rPr>
      </w:pPr>
    </w:p>
    <w:p w14:paraId="0C6E04E0" w14:textId="77777777" w:rsidR="00161DE2" w:rsidRDefault="00161DE2" w:rsidP="00161DE2">
      <w:pPr>
        <w:rPr>
          <w:b/>
          <w:bCs/>
        </w:rPr>
      </w:pPr>
    </w:p>
    <w:p w14:paraId="73BDAFDB" w14:textId="77777777" w:rsidR="00161DE2" w:rsidRPr="00990C8C" w:rsidRDefault="00161DE2" w:rsidP="00161DE2">
      <w:pPr>
        <w:rPr>
          <w:b/>
          <w:bCs/>
        </w:rPr>
      </w:pPr>
      <w:r w:rsidRPr="00990C8C">
        <w:rPr>
          <w:b/>
          <w:bCs/>
        </w:rPr>
        <w:lastRenderedPageBreak/>
        <w:t>Historisch risico/rendement – 7/10</w:t>
      </w:r>
    </w:p>
    <w:p w14:paraId="4F106463" w14:textId="77777777" w:rsidR="00161DE2" w:rsidRPr="00990C8C" w:rsidRDefault="00161DE2" w:rsidP="00161DE2">
      <w:r w:rsidRPr="00990C8C">
        <w:t>Het fonds heeft nog een relatief korte historie, maar presteert consistent en vergelijkbaar met andere wereldwijde obligatie-</w:t>
      </w:r>
      <w:proofErr w:type="spellStart"/>
      <w:r w:rsidRPr="00990C8C">
        <w:t>ETF’s</w:t>
      </w:r>
      <w:proofErr w:type="spellEnd"/>
      <w:r w:rsidRPr="00990C8C">
        <w:t xml:space="preserve">. De </w:t>
      </w:r>
      <w:proofErr w:type="spellStart"/>
      <w:r w:rsidRPr="00990C8C">
        <w:t>beta</w:t>
      </w:r>
      <w:proofErr w:type="spellEnd"/>
      <w:r w:rsidRPr="00990C8C">
        <w:t xml:space="preserve"> van 1,00 en brede spreiding zorgen voor een normaal risicoprofiel. De beperkte track record voorkomt een hogere score.</w:t>
      </w:r>
    </w:p>
    <w:p w14:paraId="42E7FF4F" w14:textId="77777777" w:rsidR="00161DE2" w:rsidRPr="00990C8C" w:rsidRDefault="00161DE2" w:rsidP="00161DE2">
      <w:pPr>
        <w:rPr>
          <w:b/>
          <w:bCs/>
        </w:rPr>
      </w:pPr>
      <w:r w:rsidRPr="00990C8C">
        <w:rPr>
          <w:b/>
          <w:bCs/>
        </w:rPr>
        <w:t>Kosten – 10/10</w:t>
      </w:r>
    </w:p>
    <w:p w14:paraId="593A4F44" w14:textId="77777777" w:rsidR="00161DE2" w:rsidRPr="00990C8C" w:rsidRDefault="00161DE2" w:rsidP="00161DE2">
      <w:r w:rsidRPr="00990C8C">
        <w:t xml:space="preserve">Met een TER van 0,10% is dit fonds duidelijk het goedkoopst van alle opties. Voor een wereldwijd duurzaam obligatiefonds is dit </w:t>
      </w:r>
      <w:r>
        <w:t>super</w:t>
      </w:r>
      <w:r w:rsidRPr="00990C8C">
        <w:t xml:space="preserve"> laag, wat een groot voordeel is voor beleggers.</w:t>
      </w:r>
    </w:p>
    <w:p w14:paraId="2CFFCE2D" w14:textId="77777777" w:rsidR="00161DE2" w:rsidRPr="00990C8C" w:rsidRDefault="00161DE2" w:rsidP="00161DE2">
      <w:pPr>
        <w:rPr>
          <w:b/>
          <w:bCs/>
        </w:rPr>
      </w:pPr>
      <w:r w:rsidRPr="00990C8C">
        <w:rPr>
          <w:b/>
          <w:bCs/>
        </w:rPr>
        <w:t>Aansluiting strategie – 9/10</w:t>
      </w:r>
    </w:p>
    <w:p w14:paraId="6C957275" w14:textId="77777777" w:rsidR="00161DE2" w:rsidRPr="00990C8C" w:rsidRDefault="00161DE2" w:rsidP="00161DE2">
      <w:r w:rsidRPr="00990C8C">
        <w:t xml:space="preserve">Het fonds sluit uitstekend aan op de visie van </w:t>
      </w:r>
      <w:proofErr w:type="spellStart"/>
      <w:r w:rsidRPr="00990C8C">
        <w:t>HuisjeBoompjeBeleggen</w:t>
      </w:r>
      <w:proofErr w:type="spellEnd"/>
      <w:r w:rsidRPr="00990C8C">
        <w:t>: brede wereldwijde spreiding, lage kosten en heldere ESG-criteria. Het combineert duurzaamheid met rendementspotentieel op een manier die past bij het adviesbureau.</w:t>
      </w:r>
    </w:p>
    <w:p w14:paraId="3C54D1BD" w14:textId="77777777" w:rsidR="00161DE2" w:rsidRPr="00990C8C" w:rsidRDefault="00161DE2" w:rsidP="00161DE2">
      <w:pPr>
        <w:rPr>
          <w:b/>
          <w:bCs/>
        </w:rPr>
      </w:pPr>
      <w:r w:rsidRPr="00990C8C">
        <w:rPr>
          <w:b/>
          <w:bCs/>
        </w:rPr>
        <w:t>Klimaatrisico’s – 7/10</w:t>
      </w:r>
    </w:p>
    <w:p w14:paraId="1CFF1468" w14:textId="77777777" w:rsidR="00161DE2" w:rsidRPr="00990C8C" w:rsidRDefault="00161DE2" w:rsidP="00161DE2">
      <w:r w:rsidRPr="00990C8C">
        <w:t>Er wordt uitleg gegeven over algemene ESG- en klimaatrisico’s. Wat ontbreekt, zijn echte klimaatscenario’s (zoals 1,5°C), waardoor verdieping mist.</w:t>
      </w:r>
    </w:p>
    <w:p w14:paraId="00BE9DF8" w14:textId="77777777" w:rsidR="00161DE2" w:rsidRPr="00990C8C" w:rsidRDefault="00161DE2" w:rsidP="00161DE2">
      <w:pPr>
        <w:rPr>
          <w:b/>
          <w:bCs/>
        </w:rPr>
      </w:pPr>
      <w:r w:rsidRPr="00990C8C">
        <w:rPr>
          <w:b/>
          <w:bCs/>
        </w:rPr>
        <w:t>Klantcommunicatie ESG – 8/10</w:t>
      </w:r>
    </w:p>
    <w:p w14:paraId="2BBEF1CF" w14:textId="77777777" w:rsidR="00161DE2" w:rsidRPr="00990C8C" w:rsidRDefault="00161DE2" w:rsidP="00161DE2">
      <w:proofErr w:type="spellStart"/>
      <w:r w:rsidRPr="00990C8C">
        <w:t>BlackRock</w:t>
      </w:r>
      <w:proofErr w:type="spellEnd"/>
      <w:r w:rsidRPr="00990C8C">
        <w:t xml:space="preserve"> communiceert duidelijk, professioneel en volledig. Documenten zijn overzichtelijk en regelmatig geüpdatet. Voor minder ervaren beleggers blijft de taal soms wat technisch.</w:t>
      </w:r>
    </w:p>
    <w:p w14:paraId="574F6D50" w14:textId="77777777" w:rsidR="00161DE2" w:rsidRPr="0070019F" w:rsidRDefault="00161DE2" w:rsidP="00161DE2">
      <w:pPr>
        <w:rPr>
          <w:b/>
          <w:bCs/>
        </w:rPr>
      </w:pPr>
    </w:p>
    <w:p w14:paraId="1D21769C" w14:textId="77777777" w:rsidR="00161DE2" w:rsidRPr="00990C8C" w:rsidRDefault="00161DE2" w:rsidP="00161DE2">
      <w:pPr>
        <w:rPr>
          <w:sz w:val="28"/>
          <w:szCs w:val="28"/>
          <w:lang w:val="en-US"/>
        </w:rPr>
      </w:pPr>
      <w:r w:rsidRPr="00990C8C">
        <w:rPr>
          <w:b/>
          <w:bCs/>
          <w:sz w:val="28"/>
          <w:szCs w:val="28"/>
          <w:lang w:val="en-US"/>
        </w:rPr>
        <w:t>2. Robeco – Sustainable Global Bonds DH EUR Acc</w:t>
      </w:r>
    </w:p>
    <w:p w14:paraId="27D0070E" w14:textId="77777777" w:rsidR="00161DE2" w:rsidRPr="00990C8C" w:rsidRDefault="00161DE2" w:rsidP="00161DE2">
      <w:pPr>
        <w:rPr>
          <w:b/>
          <w:bCs/>
        </w:rPr>
      </w:pPr>
      <w:r w:rsidRPr="00990C8C">
        <w:rPr>
          <w:b/>
          <w:bCs/>
        </w:rPr>
        <w:t>Communicatiestrategie – 7/10</w:t>
      </w:r>
    </w:p>
    <w:p w14:paraId="72AB6964" w14:textId="77777777" w:rsidR="00161DE2" w:rsidRPr="00990C8C" w:rsidRDefault="00161DE2" w:rsidP="00161DE2">
      <w:r w:rsidRPr="00990C8C">
        <w:t xml:space="preserve">Robeco legt de actieve strategie goed uit, inclusief top-down benadering, </w:t>
      </w:r>
      <w:proofErr w:type="spellStart"/>
      <w:r w:rsidRPr="00990C8C">
        <w:t>durationmanagement</w:t>
      </w:r>
      <w:proofErr w:type="spellEnd"/>
      <w:r w:rsidRPr="00990C8C">
        <w:t xml:space="preserve"> en wereldwijde allocatie. De toelichting op individuele obligatiekeuzes blijft beperkt, wat vaker voorkomt bij actief beheer.</w:t>
      </w:r>
    </w:p>
    <w:p w14:paraId="34F72235" w14:textId="77777777" w:rsidR="00161DE2" w:rsidRPr="00990C8C" w:rsidRDefault="00161DE2" w:rsidP="00161DE2">
      <w:pPr>
        <w:rPr>
          <w:b/>
          <w:bCs/>
        </w:rPr>
      </w:pPr>
      <w:r w:rsidRPr="00990C8C">
        <w:rPr>
          <w:b/>
          <w:bCs/>
        </w:rPr>
        <w:t>Historisch risico/rendement – 6/10</w:t>
      </w:r>
    </w:p>
    <w:p w14:paraId="07E80EEB" w14:textId="77777777" w:rsidR="00161DE2" w:rsidRPr="00990C8C" w:rsidRDefault="00161DE2" w:rsidP="00161DE2">
      <w:r w:rsidRPr="00990C8C">
        <w:t xml:space="preserve">Het fonds heeft een lange historie, maar de prestaties waren niet altijd positief. Over langere periodes blijft het rendement wat achter bij de benchmark, terwijl de </w:t>
      </w:r>
      <w:proofErr w:type="spellStart"/>
      <w:r w:rsidRPr="00990C8C">
        <w:t>beta</w:t>
      </w:r>
      <w:proofErr w:type="spellEnd"/>
      <w:r w:rsidRPr="00990C8C">
        <w:t xml:space="preserve"> van 1,08 duidt op iets meer risico. Wel laat het fonds in recente jaren herstel zien.</w:t>
      </w:r>
    </w:p>
    <w:p w14:paraId="6C9101AB" w14:textId="77777777" w:rsidR="00161DE2" w:rsidRPr="00990C8C" w:rsidRDefault="00161DE2" w:rsidP="00161DE2">
      <w:pPr>
        <w:rPr>
          <w:b/>
          <w:bCs/>
        </w:rPr>
      </w:pPr>
      <w:r w:rsidRPr="00990C8C">
        <w:rPr>
          <w:b/>
          <w:bCs/>
        </w:rPr>
        <w:t>Kosten – 5/10</w:t>
      </w:r>
    </w:p>
    <w:p w14:paraId="11F9F516" w14:textId="77777777" w:rsidR="00161DE2" w:rsidRPr="00990C8C" w:rsidRDefault="00161DE2" w:rsidP="00161DE2">
      <w:r w:rsidRPr="00990C8C">
        <w:t>De kosten van 1,01% plus transactiekosten zijn relatief hoog, zeker vergeleken met een passief alternatief. Dit drukt de score, al is actief beheer op zichzelf niet negatief.</w:t>
      </w:r>
    </w:p>
    <w:p w14:paraId="3D3BF920" w14:textId="77777777" w:rsidR="00161DE2" w:rsidRPr="00990C8C" w:rsidRDefault="00161DE2" w:rsidP="00161DE2">
      <w:pPr>
        <w:rPr>
          <w:b/>
          <w:bCs/>
        </w:rPr>
      </w:pPr>
      <w:r w:rsidRPr="00990C8C">
        <w:rPr>
          <w:b/>
          <w:bCs/>
        </w:rPr>
        <w:lastRenderedPageBreak/>
        <w:t>Aansluiting strategie – 8/10</w:t>
      </w:r>
    </w:p>
    <w:p w14:paraId="40D119F1" w14:textId="77777777" w:rsidR="00161DE2" w:rsidRPr="00990C8C" w:rsidRDefault="00161DE2" w:rsidP="00161DE2">
      <w:r w:rsidRPr="00990C8C">
        <w:t>De duurzaamheidscriteria zijn uitgebreid en streng: uitsluitingen, ESG-integratie, SDG-scores en thematische obligaties. Dit past goed bij de visie van HBB waarin duurzaamheid en rendement moeten samengaan. Wereldwijde spreiding versterkt deze aansluiting.</w:t>
      </w:r>
    </w:p>
    <w:p w14:paraId="30DCF9CF" w14:textId="77777777" w:rsidR="00161DE2" w:rsidRPr="00990C8C" w:rsidRDefault="00161DE2" w:rsidP="00161DE2">
      <w:pPr>
        <w:rPr>
          <w:b/>
          <w:bCs/>
        </w:rPr>
      </w:pPr>
      <w:r w:rsidRPr="00990C8C">
        <w:rPr>
          <w:b/>
          <w:bCs/>
        </w:rPr>
        <w:t>Klimaatrisico’s – 7/10</w:t>
      </w:r>
    </w:p>
    <w:p w14:paraId="28684A13" w14:textId="77777777" w:rsidR="00161DE2" w:rsidRPr="00990C8C" w:rsidRDefault="00161DE2" w:rsidP="00161DE2">
      <w:r w:rsidRPr="00990C8C">
        <w:t>Robeco toont dat ESG-risico’s worden meegenomen in het beleggingsproces. Wat ontbreekt zijn gedetailleerde klimaatscenario’s of uitgebreide impactmodellen. De basis is goed, maar verdere verdieping kan.</w:t>
      </w:r>
    </w:p>
    <w:p w14:paraId="43EE8681" w14:textId="77777777" w:rsidR="00161DE2" w:rsidRPr="00990C8C" w:rsidRDefault="00161DE2" w:rsidP="00161DE2">
      <w:pPr>
        <w:rPr>
          <w:b/>
          <w:bCs/>
        </w:rPr>
      </w:pPr>
      <w:r w:rsidRPr="00990C8C">
        <w:rPr>
          <w:b/>
          <w:bCs/>
        </w:rPr>
        <w:t>Klantcommunicatie ESG – 7/10</w:t>
      </w:r>
    </w:p>
    <w:p w14:paraId="30AAE745" w14:textId="77777777" w:rsidR="00161DE2" w:rsidRPr="00990C8C" w:rsidRDefault="00161DE2" w:rsidP="00161DE2">
      <w:r w:rsidRPr="00990C8C">
        <w:t>Robeco biedt uitgebreide documentatie aan, maar gebruikt veel vakjargon en technische termen. Dit is voor professionals prima, maar minder toegankelijk voor beginnende beleggers.</w:t>
      </w:r>
    </w:p>
    <w:p w14:paraId="277704D4" w14:textId="77777777" w:rsidR="00161DE2" w:rsidRDefault="00161DE2" w:rsidP="00161DE2"/>
    <w:p w14:paraId="1C010CCA" w14:textId="77777777" w:rsidR="00161DE2" w:rsidRPr="00990C8C" w:rsidRDefault="00161DE2" w:rsidP="00161DE2">
      <w:pPr>
        <w:rPr>
          <w:b/>
          <w:bCs/>
          <w:sz w:val="28"/>
          <w:szCs w:val="28"/>
        </w:rPr>
      </w:pPr>
      <w:r w:rsidRPr="00990C8C">
        <w:rPr>
          <w:b/>
          <w:bCs/>
          <w:sz w:val="28"/>
          <w:szCs w:val="28"/>
        </w:rPr>
        <w:t xml:space="preserve"> 3. ASN – Duurzaam Obligatiefonds R</w:t>
      </w:r>
    </w:p>
    <w:p w14:paraId="6F5457B4" w14:textId="77777777" w:rsidR="00161DE2" w:rsidRPr="00990C8C" w:rsidRDefault="00161DE2" w:rsidP="00161DE2">
      <w:pPr>
        <w:rPr>
          <w:b/>
          <w:bCs/>
        </w:rPr>
      </w:pPr>
      <w:r w:rsidRPr="00990C8C">
        <w:rPr>
          <w:b/>
          <w:bCs/>
        </w:rPr>
        <w:t>Communicatiestrategie – 7/10</w:t>
      </w:r>
    </w:p>
    <w:p w14:paraId="11B588AF" w14:textId="77777777" w:rsidR="00161DE2" w:rsidRPr="00990C8C" w:rsidRDefault="00161DE2" w:rsidP="00161DE2">
      <w:r w:rsidRPr="00990C8C">
        <w:t>ASN legt in begrijpelijke taal uit hoe het fonds werkt. De focus op euro-obligaties en duurzame selectie van landen wordt helder toegelicht. Wel wordt er, net als bij de andere fondsen, weinig verteld over individuele transacties.</w:t>
      </w:r>
    </w:p>
    <w:p w14:paraId="7C495173" w14:textId="77777777" w:rsidR="00161DE2" w:rsidRPr="00990C8C" w:rsidRDefault="00161DE2" w:rsidP="00161DE2">
      <w:pPr>
        <w:rPr>
          <w:b/>
          <w:bCs/>
        </w:rPr>
      </w:pPr>
      <w:r w:rsidRPr="00990C8C">
        <w:rPr>
          <w:b/>
          <w:bCs/>
        </w:rPr>
        <w:t>Historisch risico/rendement – 6/10</w:t>
      </w:r>
    </w:p>
    <w:p w14:paraId="23C6AB9B" w14:textId="77777777" w:rsidR="00161DE2" w:rsidRPr="00990C8C" w:rsidRDefault="00161DE2" w:rsidP="00161DE2">
      <w:r w:rsidRPr="00990C8C">
        <w:t xml:space="preserve">De rendementen liggen iets onder de benchmark, maar het risico is lager door de lagere </w:t>
      </w:r>
      <w:proofErr w:type="spellStart"/>
      <w:r w:rsidRPr="00990C8C">
        <w:t>beta</w:t>
      </w:r>
      <w:proofErr w:type="spellEnd"/>
      <w:r w:rsidRPr="00990C8C">
        <w:t xml:space="preserve"> (~0,88) en doordat het fonds geen valutarisico loopt. Hierdoor is het risicoprofiel relatief stabiel, maar minder kansrijk dan wereldwijde fondsen.</w:t>
      </w:r>
    </w:p>
    <w:p w14:paraId="17B2127B" w14:textId="77777777" w:rsidR="00161DE2" w:rsidRPr="00990C8C" w:rsidRDefault="00161DE2" w:rsidP="00161DE2">
      <w:pPr>
        <w:rPr>
          <w:b/>
          <w:bCs/>
        </w:rPr>
      </w:pPr>
      <w:r w:rsidRPr="00990C8C">
        <w:rPr>
          <w:b/>
          <w:bCs/>
        </w:rPr>
        <w:t>Kosten – 7/10</w:t>
      </w:r>
    </w:p>
    <w:p w14:paraId="257BC2DD" w14:textId="77777777" w:rsidR="00161DE2" w:rsidRPr="00990C8C" w:rsidRDefault="00161DE2" w:rsidP="00161DE2">
      <w:r w:rsidRPr="00990C8C">
        <w:t xml:space="preserve">Met 0,35% lopende kosten plus max. 0,30% servicekosten zijn de kosten redelijk voor actief duurzaam beheer. Ze zijn hoger dan </w:t>
      </w:r>
      <w:proofErr w:type="spellStart"/>
      <w:r w:rsidRPr="00990C8C">
        <w:t>ETF’s</w:t>
      </w:r>
      <w:proofErr w:type="spellEnd"/>
      <w:r w:rsidRPr="00990C8C">
        <w:t>, maar niet buitensporig.</w:t>
      </w:r>
    </w:p>
    <w:p w14:paraId="17EF6B62" w14:textId="77777777" w:rsidR="00161DE2" w:rsidRPr="00990C8C" w:rsidRDefault="00161DE2" w:rsidP="00161DE2">
      <w:pPr>
        <w:rPr>
          <w:b/>
          <w:bCs/>
        </w:rPr>
      </w:pPr>
      <w:r w:rsidRPr="00990C8C">
        <w:rPr>
          <w:b/>
          <w:bCs/>
        </w:rPr>
        <w:t>Aansluiting strategie – 7/10</w:t>
      </w:r>
    </w:p>
    <w:p w14:paraId="56F752EF" w14:textId="77777777" w:rsidR="00161DE2" w:rsidRDefault="00161DE2" w:rsidP="00161DE2">
      <w:r w:rsidRPr="00990C8C">
        <w:t xml:space="preserve">Het duurzaamheidsbeleid is zeer sterk en past goed bij </w:t>
      </w:r>
      <w:proofErr w:type="spellStart"/>
      <w:r w:rsidRPr="00990C8C">
        <w:t>HuisjeBoompjeBeleggen</w:t>
      </w:r>
      <w:proofErr w:type="spellEnd"/>
      <w:r w:rsidRPr="00990C8C">
        <w:t>. ASN werkt met duidelijke uitsluitingen, sterke ESG-integratie en thematische obligaties. Een groot minpunt is dat er geen wereldwijde spreiding is: alleen euro-obligaties worden gekocht. Dit beperkt diversificatie.</w:t>
      </w:r>
    </w:p>
    <w:p w14:paraId="69358DD6" w14:textId="77777777" w:rsidR="00161DE2" w:rsidRDefault="00161DE2" w:rsidP="00161DE2"/>
    <w:p w14:paraId="468F43FA" w14:textId="77777777" w:rsidR="00161DE2" w:rsidRDefault="00161DE2" w:rsidP="00161DE2"/>
    <w:p w14:paraId="012FA39E" w14:textId="77777777" w:rsidR="00161DE2" w:rsidRPr="00990C8C" w:rsidRDefault="00161DE2" w:rsidP="00161DE2"/>
    <w:p w14:paraId="1BA4970D" w14:textId="77777777" w:rsidR="00161DE2" w:rsidRPr="00990C8C" w:rsidRDefault="00161DE2" w:rsidP="00161DE2">
      <w:pPr>
        <w:rPr>
          <w:b/>
          <w:bCs/>
        </w:rPr>
      </w:pPr>
      <w:r w:rsidRPr="00990C8C">
        <w:rPr>
          <w:b/>
          <w:bCs/>
        </w:rPr>
        <w:t>Klimaatrisico’s – 6/10</w:t>
      </w:r>
    </w:p>
    <w:p w14:paraId="14439F79" w14:textId="77777777" w:rsidR="00161DE2" w:rsidRPr="00990C8C" w:rsidRDefault="00161DE2" w:rsidP="00161DE2">
      <w:r w:rsidRPr="00990C8C">
        <w:t>ASN beoordeelt landen op klimaatbeleid, CO₂-reductie en milieustandaarden. Dit biedt goed inzicht, maar uitgebreide scenarioanalyses ontbreken, net zoals bij de andere fondsen.</w:t>
      </w:r>
    </w:p>
    <w:p w14:paraId="0149AA75" w14:textId="77777777" w:rsidR="00161DE2" w:rsidRPr="00990C8C" w:rsidRDefault="00161DE2" w:rsidP="00161DE2">
      <w:pPr>
        <w:rPr>
          <w:b/>
          <w:bCs/>
        </w:rPr>
      </w:pPr>
      <w:r w:rsidRPr="00990C8C">
        <w:rPr>
          <w:b/>
          <w:bCs/>
        </w:rPr>
        <w:t>Klantcommunicatie ESG – 7/10</w:t>
      </w:r>
    </w:p>
    <w:p w14:paraId="021CFCE6" w14:textId="77777777" w:rsidR="00161DE2" w:rsidRPr="00990C8C" w:rsidRDefault="00161DE2" w:rsidP="00161DE2">
      <w:r w:rsidRPr="00990C8C">
        <w:t xml:space="preserve">ASN communiceert erg duidelijk en in het Nederlands, wat de toegankelijkheid verhoogt. De website is echter minder overzichtelijk en minder professioneel gestructureerd dan die van </w:t>
      </w:r>
      <w:proofErr w:type="spellStart"/>
      <w:r w:rsidRPr="00990C8C">
        <w:t>BlackRock</w:t>
      </w:r>
      <w:proofErr w:type="spellEnd"/>
      <w:r w:rsidRPr="00990C8C">
        <w:t xml:space="preserve"> of Robeco.</w:t>
      </w:r>
    </w:p>
    <w:p w14:paraId="2D1EA9BC" w14:textId="77777777" w:rsidR="00161DE2" w:rsidRPr="00891859" w:rsidRDefault="00161DE2" w:rsidP="00161DE2"/>
    <w:p w14:paraId="0C625209" w14:textId="77777777" w:rsidR="00161DE2" w:rsidRPr="00E45C23" w:rsidRDefault="00161DE2" w:rsidP="00161DE2">
      <w:pPr>
        <w:rPr>
          <w:b/>
          <w:bCs/>
        </w:rPr>
      </w:pPr>
    </w:p>
    <w:p w14:paraId="32F1E3B6" w14:textId="77777777" w:rsidR="00161DE2" w:rsidRPr="00E45C23" w:rsidRDefault="00161DE2" w:rsidP="00161DE2">
      <w:pPr>
        <w:rPr>
          <w:b/>
          <w:bCs/>
        </w:rPr>
      </w:pPr>
    </w:p>
    <w:p w14:paraId="04B978B0" w14:textId="77777777" w:rsidR="00161DE2" w:rsidRPr="00E45C23" w:rsidRDefault="00161DE2" w:rsidP="00161DE2">
      <w:pPr>
        <w:rPr>
          <w:b/>
          <w:bCs/>
        </w:rPr>
      </w:pPr>
    </w:p>
    <w:p w14:paraId="5A57BAEC" w14:textId="77777777" w:rsidR="00161DE2" w:rsidRPr="00E45C23" w:rsidRDefault="00161DE2" w:rsidP="00161DE2">
      <w:pPr>
        <w:rPr>
          <w:b/>
          <w:bCs/>
        </w:rPr>
      </w:pPr>
    </w:p>
    <w:p w14:paraId="72AAD868" w14:textId="77777777" w:rsidR="00161DE2" w:rsidRDefault="00161DE2" w:rsidP="00161DE2">
      <w:pPr>
        <w:rPr>
          <w:b/>
          <w:bCs/>
        </w:rPr>
      </w:pPr>
    </w:p>
    <w:p w14:paraId="1F3D0478" w14:textId="77777777" w:rsidR="00161DE2" w:rsidRDefault="00161DE2" w:rsidP="00161DE2">
      <w:pPr>
        <w:rPr>
          <w:b/>
          <w:bCs/>
        </w:rPr>
      </w:pPr>
    </w:p>
    <w:p w14:paraId="02E13EA6" w14:textId="77777777" w:rsidR="00161DE2" w:rsidRDefault="00161DE2" w:rsidP="00161DE2">
      <w:pPr>
        <w:rPr>
          <w:b/>
          <w:bCs/>
        </w:rPr>
      </w:pPr>
    </w:p>
    <w:p w14:paraId="162D0B9F" w14:textId="77777777" w:rsidR="00161DE2" w:rsidRDefault="00161DE2" w:rsidP="00161DE2">
      <w:pPr>
        <w:rPr>
          <w:b/>
          <w:bCs/>
        </w:rPr>
      </w:pPr>
    </w:p>
    <w:p w14:paraId="592397C6" w14:textId="77777777" w:rsidR="00161DE2" w:rsidRDefault="00161DE2" w:rsidP="00161DE2">
      <w:pPr>
        <w:rPr>
          <w:b/>
          <w:bCs/>
        </w:rPr>
      </w:pPr>
    </w:p>
    <w:p w14:paraId="45825C93" w14:textId="77777777" w:rsidR="00161DE2" w:rsidRDefault="00161DE2" w:rsidP="00161DE2">
      <w:pPr>
        <w:rPr>
          <w:b/>
          <w:bCs/>
        </w:rPr>
      </w:pPr>
    </w:p>
    <w:p w14:paraId="35263E7B" w14:textId="77777777" w:rsidR="00161DE2" w:rsidRDefault="00161DE2" w:rsidP="00161DE2">
      <w:pPr>
        <w:rPr>
          <w:b/>
          <w:bCs/>
        </w:rPr>
      </w:pPr>
    </w:p>
    <w:p w14:paraId="1737CEAD" w14:textId="77777777" w:rsidR="00161DE2" w:rsidRDefault="00161DE2" w:rsidP="00161DE2">
      <w:pPr>
        <w:rPr>
          <w:b/>
          <w:bCs/>
        </w:rPr>
      </w:pPr>
    </w:p>
    <w:p w14:paraId="53007C18" w14:textId="77777777" w:rsidR="00161DE2" w:rsidRDefault="00161DE2" w:rsidP="00161DE2">
      <w:pPr>
        <w:rPr>
          <w:b/>
          <w:bCs/>
        </w:rPr>
      </w:pPr>
    </w:p>
    <w:p w14:paraId="54A575DD" w14:textId="77777777" w:rsidR="00161DE2" w:rsidRDefault="00161DE2" w:rsidP="00161DE2">
      <w:pPr>
        <w:rPr>
          <w:b/>
          <w:bCs/>
        </w:rPr>
      </w:pPr>
    </w:p>
    <w:p w14:paraId="6AA7949F" w14:textId="77777777" w:rsidR="00161DE2" w:rsidRDefault="00161DE2" w:rsidP="00161DE2">
      <w:pPr>
        <w:rPr>
          <w:b/>
          <w:bCs/>
        </w:rPr>
      </w:pPr>
    </w:p>
    <w:p w14:paraId="39FD82D6" w14:textId="77777777" w:rsidR="00161DE2" w:rsidRDefault="00161DE2" w:rsidP="00161DE2">
      <w:pPr>
        <w:rPr>
          <w:b/>
          <w:bCs/>
        </w:rPr>
      </w:pPr>
    </w:p>
    <w:p w14:paraId="4D9114DF" w14:textId="77777777" w:rsidR="00161DE2" w:rsidRDefault="00161DE2" w:rsidP="00161DE2">
      <w:pPr>
        <w:rPr>
          <w:b/>
          <w:bCs/>
        </w:rPr>
      </w:pPr>
    </w:p>
    <w:p w14:paraId="51DA93A4" w14:textId="77777777" w:rsidR="00161DE2" w:rsidRDefault="00161DE2" w:rsidP="00161DE2">
      <w:pPr>
        <w:rPr>
          <w:b/>
          <w:bCs/>
        </w:rPr>
      </w:pPr>
    </w:p>
    <w:p w14:paraId="495ED23E" w14:textId="77777777" w:rsidR="00161DE2" w:rsidRDefault="00161DE2" w:rsidP="00161DE2">
      <w:pPr>
        <w:rPr>
          <w:b/>
          <w:bCs/>
        </w:rPr>
      </w:pPr>
    </w:p>
    <w:p w14:paraId="55B4824B" w14:textId="77777777" w:rsidR="00161DE2" w:rsidRPr="001A5EAD" w:rsidRDefault="00161DE2" w:rsidP="00161DE2">
      <w:pPr>
        <w:rPr>
          <w:b/>
          <w:bCs/>
        </w:rPr>
      </w:pPr>
      <w:r>
        <w:rPr>
          <w:b/>
          <w:bCs/>
        </w:rPr>
        <w:lastRenderedPageBreak/>
        <w:t>Bronnen</w:t>
      </w:r>
    </w:p>
    <w:p w14:paraId="08F7550F" w14:textId="77777777" w:rsidR="00161DE2" w:rsidRPr="00694EB5" w:rsidRDefault="00161DE2" w:rsidP="00161DE2">
      <w:r w:rsidRPr="00694EB5">
        <w:t xml:space="preserve">• Allianz. (2024). Allianz Group </w:t>
      </w:r>
      <w:proofErr w:type="spellStart"/>
      <w:r w:rsidRPr="00694EB5">
        <w:t>Annual</w:t>
      </w:r>
      <w:proofErr w:type="spellEnd"/>
      <w:r w:rsidRPr="00694EB5">
        <w:t xml:space="preserve"> Report 2024. </w:t>
      </w:r>
      <w:hyperlink r:id="rId7" w:history="1">
        <w:r w:rsidRPr="00694EB5">
          <w:rPr>
            <w:rStyle w:val="Hyperlink"/>
          </w:rPr>
          <w:t>https://www.allianz.com/content/dam/onemarketing/azcom/Allianz_com/investor-relations/en/results-reports/annual-report/ar-2024/en-allianz-group-annual-report-2024.pdf</w:t>
        </w:r>
      </w:hyperlink>
      <w:r w:rsidRPr="00694EB5">
        <w:t xml:space="preserve"> </w:t>
      </w:r>
    </w:p>
    <w:p w14:paraId="1386E3D0" w14:textId="77777777" w:rsidR="00161DE2" w:rsidRPr="00694EB5" w:rsidRDefault="00161DE2" w:rsidP="00161DE2">
      <w:r w:rsidRPr="00694EB5">
        <w:rPr>
          <w:lang w:val="en-US"/>
        </w:rPr>
        <w:t>• Allianz. (</w:t>
      </w:r>
      <w:proofErr w:type="spellStart"/>
      <w:r w:rsidRPr="00694EB5">
        <w:rPr>
          <w:lang w:val="en-US"/>
        </w:rPr>
        <w:t>z.d</w:t>
      </w:r>
      <w:proofErr w:type="spellEnd"/>
      <w:r w:rsidRPr="00694EB5">
        <w:rPr>
          <w:lang w:val="en-US"/>
        </w:rPr>
        <w:t xml:space="preserve">.-a). Sustainability at Allianz. </w:t>
      </w:r>
      <w:r w:rsidRPr="00694EB5">
        <w:t xml:space="preserve">Geraadpleegd op 7 november 2025, van </w:t>
      </w:r>
      <w:hyperlink r:id="rId8" w:history="1">
        <w:r w:rsidRPr="00694EB5">
          <w:rPr>
            <w:rStyle w:val="Hyperlink"/>
          </w:rPr>
          <w:t>https://www.allianz.com/en/sustainability/sustainability-hub/sustainability-at-allianz.html</w:t>
        </w:r>
      </w:hyperlink>
      <w:r w:rsidRPr="00694EB5">
        <w:t xml:space="preserve"> </w:t>
      </w:r>
    </w:p>
    <w:p w14:paraId="38DE615A" w14:textId="77777777" w:rsidR="00161DE2" w:rsidRPr="00694EB5" w:rsidRDefault="00161DE2" w:rsidP="00161DE2">
      <w:r w:rsidRPr="00694EB5">
        <w:rPr>
          <w:lang w:val="de-DE"/>
        </w:rPr>
        <w:t>• Allianz. (</w:t>
      </w:r>
      <w:proofErr w:type="spellStart"/>
      <w:r w:rsidRPr="00694EB5">
        <w:rPr>
          <w:lang w:val="de-DE"/>
        </w:rPr>
        <w:t>z.d.</w:t>
      </w:r>
      <w:proofErr w:type="spellEnd"/>
      <w:r w:rsidRPr="00694EB5">
        <w:rPr>
          <w:lang w:val="de-DE"/>
        </w:rPr>
        <w:t xml:space="preserve">-b). Net-zero </w:t>
      </w:r>
      <w:proofErr w:type="spellStart"/>
      <w:r w:rsidRPr="00694EB5">
        <w:rPr>
          <w:lang w:val="de-DE"/>
        </w:rPr>
        <w:t>transition</w:t>
      </w:r>
      <w:proofErr w:type="spellEnd"/>
      <w:r w:rsidRPr="00694EB5">
        <w:rPr>
          <w:lang w:val="de-DE"/>
        </w:rPr>
        <w:t xml:space="preserve"> plan. </w:t>
      </w:r>
      <w:r w:rsidRPr="00694EB5">
        <w:t>Geraadpleegd op 7 november 2025, van https://www.allianz.com/en/sustainability/climate-change/net-zero-transition.html</w:t>
      </w:r>
    </w:p>
    <w:p w14:paraId="46499BC7" w14:textId="77777777" w:rsidR="00161DE2" w:rsidRPr="00694EB5" w:rsidRDefault="00161DE2" w:rsidP="00161DE2">
      <w:pPr>
        <w:rPr>
          <w:lang w:val="en-US"/>
        </w:rPr>
      </w:pPr>
      <w:r w:rsidRPr="00694EB5">
        <w:rPr>
          <w:lang w:val="en-US"/>
        </w:rPr>
        <w:t>• Allianz Global Investors. (2020). ESG Policy Framework. https://www.allianzgi.com/-/media/allianzgi/globalagi/our-firm/ouresgapproach/allianzgi-esg-policy-framework-201130.pdf</w:t>
      </w:r>
    </w:p>
    <w:p w14:paraId="10E9F238" w14:textId="77777777" w:rsidR="00161DE2" w:rsidRPr="00694EB5" w:rsidRDefault="00161DE2" w:rsidP="00161DE2">
      <w:pPr>
        <w:rPr>
          <w:lang w:val="en-US"/>
        </w:rPr>
      </w:pPr>
      <w:r w:rsidRPr="00694EB5">
        <w:rPr>
          <w:lang w:val="en-US"/>
        </w:rPr>
        <w:t>• Allianz Global Investors. (2023). Global Corporate Governance Guidelines. https://www.allianzgi.com/-/media/allianzgi/globalagi/our-firm/ouresgapproach/update-april/allianzgi-global-corporate-governance-guidelines.pdf</w:t>
      </w:r>
    </w:p>
    <w:p w14:paraId="79FE0869" w14:textId="77777777" w:rsidR="00161DE2" w:rsidRPr="00694EB5" w:rsidRDefault="00161DE2" w:rsidP="00161DE2">
      <w:pPr>
        <w:rPr>
          <w:lang w:val="en-US"/>
        </w:rPr>
      </w:pPr>
      <w:r w:rsidRPr="00694EB5">
        <w:rPr>
          <w:lang w:val="en-US"/>
        </w:rPr>
        <w:t>• Allianz Global Investors. (</w:t>
      </w:r>
      <w:proofErr w:type="spellStart"/>
      <w:r w:rsidRPr="00694EB5">
        <w:rPr>
          <w:lang w:val="en-US"/>
        </w:rPr>
        <w:t>z.d</w:t>
      </w:r>
      <w:proofErr w:type="spellEnd"/>
      <w:r w:rsidRPr="00694EB5">
        <w:rPr>
          <w:lang w:val="en-US"/>
        </w:rPr>
        <w:t xml:space="preserve">.-a). ESG Exclusion Policy. </w:t>
      </w:r>
      <w:proofErr w:type="spellStart"/>
      <w:r w:rsidRPr="00694EB5">
        <w:rPr>
          <w:lang w:val="en-US"/>
        </w:rPr>
        <w:t>Geraadpleegd</w:t>
      </w:r>
      <w:proofErr w:type="spellEnd"/>
      <w:r w:rsidRPr="00694EB5">
        <w:rPr>
          <w:lang w:val="en-US"/>
        </w:rPr>
        <w:t xml:space="preserve"> op 7 </w:t>
      </w:r>
      <w:proofErr w:type="spellStart"/>
      <w:r w:rsidRPr="00694EB5">
        <w:rPr>
          <w:lang w:val="en-US"/>
        </w:rPr>
        <w:t>november</w:t>
      </w:r>
      <w:proofErr w:type="spellEnd"/>
      <w:r w:rsidRPr="00694EB5">
        <w:rPr>
          <w:lang w:val="en-US"/>
        </w:rPr>
        <w:t xml:space="preserve"> 2025, van https://regulatory.allianzgi.com/en/esg</w:t>
      </w:r>
    </w:p>
    <w:p w14:paraId="21959B95" w14:textId="77777777" w:rsidR="00161DE2" w:rsidRPr="00694EB5" w:rsidRDefault="00161DE2" w:rsidP="00161DE2">
      <w:pPr>
        <w:rPr>
          <w:lang w:val="en-US"/>
        </w:rPr>
      </w:pPr>
      <w:r w:rsidRPr="00694EB5">
        <w:rPr>
          <w:lang w:val="en-US"/>
        </w:rPr>
        <w:t xml:space="preserve">• American Bankers Association. (2025, 13 </w:t>
      </w:r>
      <w:proofErr w:type="spellStart"/>
      <w:r w:rsidRPr="00694EB5">
        <w:rPr>
          <w:lang w:val="en-US"/>
        </w:rPr>
        <w:t>januari</w:t>
      </w:r>
      <w:proofErr w:type="spellEnd"/>
      <w:r w:rsidRPr="00694EB5">
        <w:rPr>
          <w:lang w:val="en-US"/>
        </w:rPr>
        <w:t>). Fidelity agrees to pay $600K to resolve FINRA’s allegations over ex-employee’s alleged theft. https://bankingjournal.aba.com/2025/02/fidelity-agrees-to-pay-600k-to-resolve-finras-allegations-over-ex-employees-alleged-theft/</w:t>
      </w:r>
    </w:p>
    <w:p w14:paraId="037E6B4A" w14:textId="77777777" w:rsidR="00161DE2" w:rsidRPr="00694EB5" w:rsidRDefault="00161DE2" w:rsidP="00161DE2">
      <w:r w:rsidRPr="00694EB5">
        <w:t>• ASN Bank. (2025). ASN Duurzaam Obligatiefonds – Algemene fondsinformatie. https://www.asnbank.nl/beleggen/beleggingsfondsen/asn-duurzaam-obligatiefonds.html</w:t>
      </w:r>
    </w:p>
    <w:p w14:paraId="23E6A64A" w14:textId="77777777" w:rsidR="00161DE2" w:rsidRPr="00694EB5" w:rsidRDefault="00161DE2" w:rsidP="00161DE2">
      <w:r w:rsidRPr="00694EB5">
        <w:t>• ASN Bank. (2025). ASN Duurzaam Obligatiefonds – Inzicht in het fonds. https://www.asnbank.nl/beleggen/beleggingsfondsen/asn-duurzaam-obligatiefonds/inzicht-in-het-asn-duurzaam-obligatiefonds.html</w:t>
      </w:r>
    </w:p>
    <w:p w14:paraId="62862565" w14:textId="77777777" w:rsidR="00161DE2" w:rsidRPr="00694EB5" w:rsidRDefault="00161DE2" w:rsidP="00161DE2">
      <w:r w:rsidRPr="00694EB5">
        <w:t xml:space="preserve">• ASN Beleggingsfondsen. (2025). ASN Duurzaam Obligatiefonds – </w:t>
      </w:r>
      <w:proofErr w:type="spellStart"/>
      <w:r w:rsidRPr="00694EB5">
        <w:t>Factsheet</w:t>
      </w:r>
      <w:proofErr w:type="spellEnd"/>
      <w:r w:rsidRPr="00694EB5">
        <w:t>. https://beleggingsfondsen.asnbank.nl/overig/downloads/factsheet-asn-duurzaam-obligatiefonds-i.html</w:t>
      </w:r>
    </w:p>
    <w:p w14:paraId="4F557C97" w14:textId="77777777" w:rsidR="00161DE2" w:rsidRPr="00694EB5" w:rsidRDefault="00161DE2" w:rsidP="00161DE2">
      <w:r w:rsidRPr="00694EB5">
        <w:t>• ASN Beleggingsfondsen. (2025). ASN Duurzaam Obligatiefonds – Fondsprofiel. https://beleggingsfondsen.asnbank.nl/home-professioneel/fondsen-professioneel/asn-duurzaam-obligatiefonds-i.html</w:t>
      </w:r>
    </w:p>
    <w:p w14:paraId="1D999216" w14:textId="77777777" w:rsidR="00161DE2" w:rsidRPr="00694EB5" w:rsidRDefault="00161DE2" w:rsidP="00161DE2">
      <w:pPr>
        <w:rPr>
          <w:lang w:val="en-US"/>
        </w:rPr>
      </w:pPr>
      <w:r w:rsidRPr="00694EB5">
        <w:rPr>
          <w:lang w:val="en-US"/>
        </w:rPr>
        <w:lastRenderedPageBreak/>
        <w:t xml:space="preserve">• Associated Press. (2024, 31 </w:t>
      </w:r>
      <w:proofErr w:type="spellStart"/>
      <w:r w:rsidRPr="00694EB5">
        <w:rPr>
          <w:lang w:val="en-US"/>
        </w:rPr>
        <w:t>oktober</w:t>
      </w:r>
      <w:proofErr w:type="spellEnd"/>
      <w:r w:rsidRPr="00694EB5">
        <w:rPr>
          <w:lang w:val="en-US"/>
        </w:rPr>
        <w:t>). Allianz Life confirms data breach affecting majority of 1.4M US customers. https://apnews.com/article/12b991a141c24d3a060642c0d173e0be</w:t>
      </w:r>
    </w:p>
    <w:p w14:paraId="278618AE" w14:textId="77777777" w:rsidR="00161DE2" w:rsidRPr="00694EB5" w:rsidRDefault="00161DE2" w:rsidP="00161DE2">
      <w:pPr>
        <w:rPr>
          <w:lang w:val="en-US"/>
        </w:rPr>
      </w:pPr>
      <w:r w:rsidRPr="00694EB5">
        <w:rPr>
          <w:lang w:val="en-US"/>
        </w:rPr>
        <w:t xml:space="preserve">• BlackRock. (2025). iShares Global Aggregate Bond ESG SRI UCITS ETF – Factsheet (31 </w:t>
      </w:r>
      <w:proofErr w:type="spellStart"/>
      <w:r w:rsidRPr="00694EB5">
        <w:rPr>
          <w:lang w:val="en-US"/>
        </w:rPr>
        <w:t>oktober</w:t>
      </w:r>
      <w:proofErr w:type="spellEnd"/>
      <w:r w:rsidRPr="00694EB5">
        <w:rPr>
          <w:lang w:val="en-US"/>
        </w:rPr>
        <w:t xml:space="preserve"> 2025). https://www.blackrock.com/nl/particuliere-beleggers/literature/fact-sheet/agge-ishares-global-aggregate-bond-esg-sri-ucits-etf-fund-fact-sheet-nl-nl.pdf</w:t>
      </w:r>
    </w:p>
    <w:p w14:paraId="5E6D9803" w14:textId="77777777" w:rsidR="00161DE2" w:rsidRPr="00694EB5" w:rsidRDefault="00161DE2" w:rsidP="00161DE2">
      <w:pPr>
        <w:rPr>
          <w:lang w:val="en-US"/>
        </w:rPr>
      </w:pPr>
      <w:r w:rsidRPr="00694EB5">
        <w:rPr>
          <w:lang w:val="en-US"/>
        </w:rPr>
        <w:t>• BlackRock, Inc. (2024). Corporate sustainability – Board diversity and governance. https://www.blackrock.com/corporate/sustainability</w:t>
      </w:r>
    </w:p>
    <w:p w14:paraId="2D6D8BE6" w14:textId="77777777" w:rsidR="00161DE2" w:rsidRPr="00694EB5" w:rsidRDefault="00161DE2" w:rsidP="00161DE2">
      <w:pPr>
        <w:rPr>
          <w:lang w:val="en-US"/>
        </w:rPr>
      </w:pPr>
      <w:r w:rsidRPr="00694EB5">
        <w:rPr>
          <w:lang w:val="en-US"/>
        </w:rPr>
        <w:t>• BlackRock, Inc. (2024). ESG Integration Statement. https://www.blackrock.com/corporate/literature/publication/blk-esg-investment-statement-web.pdf</w:t>
      </w:r>
    </w:p>
    <w:p w14:paraId="5E9CC41B" w14:textId="77777777" w:rsidR="00161DE2" w:rsidRPr="00694EB5" w:rsidRDefault="00161DE2" w:rsidP="00161DE2">
      <w:pPr>
        <w:rPr>
          <w:lang w:val="en-US"/>
        </w:rPr>
      </w:pPr>
      <w:r w:rsidRPr="00694EB5">
        <w:rPr>
          <w:lang w:val="en-US"/>
        </w:rPr>
        <w:t>• BlackRock, Inc. (2024). Sustainable &amp; Transition Investing – Our approach. https://www.blackrock.com/sg/en/solutions/sustainable-transition-investing</w:t>
      </w:r>
    </w:p>
    <w:p w14:paraId="3F1C1993" w14:textId="77777777" w:rsidR="00161DE2" w:rsidRPr="00694EB5" w:rsidRDefault="00161DE2" w:rsidP="00161DE2">
      <w:pPr>
        <w:rPr>
          <w:lang w:val="en-US"/>
        </w:rPr>
      </w:pPr>
      <w:r w:rsidRPr="00694EB5">
        <w:rPr>
          <w:lang w:val="en-US"/>
        </w:rPr>
        <w:t>• BlackRock, Inc. (2024). Sustainable ETFs &amp; sustainable investing ideas. https://www.blackrock.com/us/financial-professionals/investments/products/sustainable</w:t>
      </w:r>
    </w:p>
    <w:p w14:paraId="340DE71B" w14:textId="77777777" w:rsidR="00161DE2" w:rsidRPr="00694EB5" w:rsidRDefault="00161DE2" w:rsidP="00161DE2">
      <w:pPr>
        <w:rPr>
          <w:lang w:val="en-US"/>
        </w:rPr>
      </w:pPr>
      <w:r w:rsidRPr="00694EB5">
        <w:rPr>
          <w:lang w:val="en-US"/>
        </w:rPr>
        <w:t>• ClientEarth. (2024, November 18). We’re taking action against BlackRock for greenwashing. https://www.clientearth.org/latest/news/clientearth-taking-action-against-blackrock-for-greenwashing/</w:t>
      </w:r>
    </w:p>
    <w:p w14:paraId="1467D452" w14:textId="77777777" w:rsidR="00161DE2" w:rsidRPr="00694EB5" w:rsidRDefault="00161DE2" w:rsidP="00161DE2">
      <w:pPr>
        <w:rPr>
          <w:lang w:val="en-US"/>
        </w:rPr>
      </w:pPr>
      <w:r w:rsidRPr="00694EB5">
        <w:rPr>
          <w:lang w:val="en-US"/>
        </w:rPr>
        <w:t xml:space="preserve">• </w:t>
      </w:r>
      <w:proofErr w:type="spellStart"/>
      <w:r w:rsidRPr="00694EB5">
        <w:rPr>
          <w:lang w:val="en-US"/>
        </w:rPr>
        <w:t>Desmog</w:t>
      </w:r>
      <w:proofErr w:type="spellEnd"/>
      <w:r w:rsidRPr="00694EB5">
        <w:rPr>
          <w:lang w:val="en-US"/>
        </w:rPr>
        <w:t xml:space="preserve">. (2024, 28 </w:t>
      </w:r>
      <w:proofErr w:type="spellStart"/>
      <w:r w:rsidRPr="00694EB5">
        <w:rPr>
          <w:lang w:val="en-US"/>
        </w:rPr>
        <w:t>oktober</w:t>
      </w:r>
      <w:proofErr w:type="spellEnd"/>
      <w:r w:rsidRPr="00694EB5">
        <w:rPr>
          <w:lang w:val="en-US"/>
        </w:rPr>
        <w:t>). The friendly new face of dark money: How Fidelity, Schwab, and Vanguard… https://www.desmog.com/2024/10/28/friendly-new-face-dark-money-fidelity-schwab-vanguard-donor-advised-funds-daf-project-2025/</w:t>
      </w:r>
    </w:p>
    <w:p w14:paraId="6E491BA3" w14:textId="77777777" w:rsidR="00161DE2" w:rsidRPr="00694EB5" w:rsidRDefault="00161DE2" w:rsidP="00161DE2">
      <w:pPr>
        <w:rPr>
          <w:lang w:val="en-US"/>
        </w:rPr>
      </w:pPr>
      <w:r w:rsidRPr="00694EB5">
        <w:rPr>
          <w:lang w:val="en-US"/>
        </w:rPr>
        <w:t>• Fidelity Investments. (2025). ESG Statement of Policy [PDF]. https://www.fidelity.com/bin-public/060_www_fidelity_com/documents/about-fidelity/ESG-StatementofPolicy.pdf</w:t>
      </w:r>
    </w:p>
    <w:p w14:paraId="05B631DB" w14:textId="77777777" w:rsidR="00161DE2" w:rsidRPr="00694EB5" w:rsidRDefault="00161DE2" w:rsidP="00161DE2">
      <w:pPr>
        <w:rPr>
          <w:lang w:val="en-US"/>
        </w:rPr>
      </w:pPr>
      <w:r w:rsidRPr="00694EB5">
        <w:rPr>
          <w:lang w:val="en-US"/>
        </w:rPr>
        <w:t>• Fidelity Investments. (2025). Sustainable investing &amp; stewardship update [PDF]. https://www.fidelity.com/bin-public/060_www_fidelity_com/documents/sustainability/sustainable-investing-stewardship-update.pdf</w:t>
      </w:r>
    </w:p>
    <w:p w14:paraId="39A358EE" w14:textId="77777777" w:rsidR="00161DE2" w:rsidRPr="00694EB5" w:rsidRDefault="00161DE2" w:rsidP="00161DE2">
      <w:pPr>
        <w:rPr>
          <w:lang w:val="en-US"/>
        </w:rPr>
      </w:pPr>
      <w:r w:rsidRPr="00694EB5">
        <w:rPr>
          <w:lang w:val="en-US"/>
        </w:rPr>
        <w:t xml:space="preserve">• </w:t>
      </w:r>
      <w:proofErr w:type="spellStart"/>
      <w:r w:rsidRPr="00694EB5">
        <w:rPr>
          <w:lang w:val="en-US"/>
        </w:rPr>
        <w:t>Interpolis</w:t>
      </w:r>
      <w:proofErr w:type="spellEnd"/>
      <w:r w:rsidRPr="00694EB5">
        <w:rPr>
          <w:lang w:val="en-US"/>
        </w:rPr>
        <w:t xml:space="preserve">. (2025). </w:t>
      </w:r>
      <w:proofErr w:type="spellStart"/>
      <w:r w:rsidRPr="00694EB5">
        <w:rPr>
          <w:lang w:val="en-US"/>
        </w:rPr>
        <w:t>Rendementsoverzicht</w:t>
      </w:r>
      <w:proofErr w:type="spellEnd"/>
      <w:r w:rsidRPr="00694EB5">
        <w:rPr>
          <w:lang w:val="en-US"/>
        </w:rPr>
        <w:t xml:space="preserve"> </w:t>
      </w:r>
      <w:proofErr w:type="spellStart"/>
      <w:r w:rsidRPr="00694EB5">
        <w:rPr>
          <w:lang w:val="en-US"/>
        </w:rPr>
        <w:t>beleggingsverzekeringen</w:t>
      </w:r>
      <w:proofErr w:type="spellEnd"/>
      <w:r w:rsidRPr="00694EB5">
        <w:rPr>
          <w:lang w:val="en-US"/>
        </w:rPr>
        <w:t>: Robeco Sustainable Global Bonds DH EUR (LU2885076518). https://www.interpolis.nl/dossiers/beleggingsverzekeringen/rendementsoverzicht</w:t>
      </w:r>
    </w:p>
    <w:p w14:paraId="4A97690B" w14:textId="77777777" w:rsidR="00161DE2" w:rsidRPr="00694EB5" w:rsidRDefault="00161DE2" w:rsidP="00161DE2">
      <w:pPr>
        <w:rPr>
          <w:lang w:val="en-US"/>
        </w:rPr>
      </w:pPr>
      <w:r w:rsidRPr="00694EB5">
        <w:rPr>
          <w:lang w:val="en-US"/>
        </w:rPr>
        <w:t xml:space="preserve">• iShares. (2025). </w:t>
      </w:r>
      <w:proofErr w:type="spellStart"/>
      <w:r w:rsidRPr="00694EB5">
        <w:rPr>
          <w:lang w:val="en-US"/>
        </w:rPr>
        <w:t>Productpagina</w:t>
      </w:r>
      <w:proofErr w:type="spellEnd"/>
      <w:r w:rsidRPr="00694EB5">
        <w:rPr>
          <w:lang w:val="en-US"/>
        </w:rPr>
        <w:t xml:space="preserve"> iShares Global Aggregate Bond ESG SRI UCITS ETF. https://www.ishares.com/nl/particuliere-belegger/nl/producten/319887/ishares-global-aggregate-bond-esg-sri-ucits-etf</w:t>
      </w:r>
    </w:p>
    <w:p w14:paraId="2DA5A8E2" w14:textId="77777777" w:rsidR="00161DE2" w:rsidRPr="00694EB5" w:rsidRDefault="00161DE2" w:rsidP="00161DE2">
      <w:pPr>
        <w:rPr>
          <w:lang w:val="it-IT"/>
        </w:rPr>
      </w:pPr>
      <w:r w:rsidRPr="00694EB5">
        <w:rPr>
          <w:lang w:val="en-US"/>
        </w:rPr>
        <w:lastRenderedPageBreak/>
        <w:t xml:space="preserve">• Johnson, L. (2024, 3 </w:t>
      </w:r>
      <w:proofErr w:type="spellStart"/>
      <w:r w:rsidRPr="00694EB5">
        <w:rPr>
          <w:lang w:val="en-US"/>
        </w:rPr>
        <w:t>september</w:t>
      </w:r>
      <w:proofErr w:type="spellEnd"/>
      <w:r w:rsidRPr="00694EB5">
        <w:rPr>
          <w:lang w:val="en-US"/>
        </w:rPr>
        <w:t xml:space="preserve">). Vanguard supported zero environmental &amp; social proposals in 2024: report. </w:t>
      </w:r>
      <w:r w:rsidRPr="00694EB5">
        <w:rPr>
          <w:lang w:val="it-IT"/>
        </w:rPr>
        <w:t>ESG Dive. https://www.esgdive.com/news/vanguard-esg-proposal-supports-zero-environmental-social-2024-proxy/725917/</w:t>
      </w:r>
    </w:p>
    <w:p w14:paraId="474CB06E" w14:textId="77777777" w:rsidR="00161DE2" w:rsidRPr="00694EB5" w:rsidRDefault="00161DE2" w:rsidP="00161DE2">
      <w:pPr>
        <w:rPr>
          <w:lang w:val="en-US"/>
        </w:rPr>
      </w:pPr>
      <w:r w:rsidRPr="00694EB5">
        <w:rPr>
          <w:lang w:val="en-US"/>
        </w:rPr>
        <w:t xml:space="preserve">• </w:t>
      </w:r>
      <w:proofErr w:type="spellStart"/>
      <w:r w:rsidRPr="00694EB5">
        <w:rPr>
          <w:lang w:val="en-US"/>
        </w:rPr>
        <w:t>JustETF</w:t>
      </w:r>
      <w:proofErr w:type="spellEnd"/>
      <w:r w:rsidRPr="00694EB5">
        <w:rPr>
          <w:lang w:val="en-US"/>
        </w:rPr>
        <w:t>. (2025). ETF-</w:t>
      </w:r>
      <w:proofErr w:type="spellStart"/>
      <w:r w:rsidRPr="00694EB5">
        <w:rPr>
          <w:lang w:val="en-US"/>
        </w:rPr>
        <w:t>profiel</w:t>
      </w:r>
      <w:proofErr w:type="spellEnd"/>
      <w:r w:rsidRPr="00694EB5">
        <w:rPr>
          <w:lang w:val="en-US"/>
        </w:rPr>
        <w:t>: iShares Global Aggregate Bond ESG SRI UCITS ETF. https://www.justetf.com/en/etf-profile.html?isin=IE000APK27S2</w:t>
      </w:r>
    </w:p>
    <w:p w14:paraId="64194CFE" w14:textId="77777777" w:rsidR="00161DE2" w:rsidRPr="00694EB5" w:rsidRDefault="00161DE2" w:rsidP="00161DE2">
      <w:pPr>
        <w:rPr>
          <w:lang w:val="en-US"/>
        </w:rPr>
      </w:pPr>
      <w:r w:rsidRPr="00694EB5">
        <w:rPr>
          <w:lang w:val="en-US"/>
        </w:rPr>
        <w:t xml:space="preserve">• Morningstar. (2024, 5 </w:t>
      </w:r>
      <w:proofErr w:type="spellStart"/>
      <w:r w:rsidRPr="00694EB5">
        <w:rPr>
          <w:lang w:val="en-US"/>
        </w:rPr>
        <w:t>maart</w:t>
      </w:r>
      <w:proofErr w:type="spellEnd"/>
      <w:r w:rsidRPr="00694EB5">
        <w:rPr>
          <w:lang w:val="en-US"/>
        </w:rPr>
        <w:t>). Allianz’s governance issues and complicated macro environment provide good investment opportunity. https://www.morningstar.com/company-reports/1099535-allianzs-governance-issues-and-complicated-macroenvironment-provide-good-investment-opportunity</w:t>
      </w:r>
    </w:p>
    <w:p w14:paraId="39AB8EBB" w14:textId="77777777" w:rsidR="00161DE2" w:rsidRPr="00694EB5" w:rsidRDefault="00161DE2" w:rsidP="00161DE2">
      <w:pPr>
        <w:rPr>
          <w:lang w:val="en-US"/>
        </w:rPr>
      </w:pPr>
      <w:r w:rsidRPr="00694EB5">
        <w:rPr>
          <w:lang w:val="en-US"/>
        </w:rPr>
        <w:t>• PIMCO Prime Real Estate. (2024). Sustainability Policy. https://pimcoprimerealestate.com/_Resources/Persistent/b11aef340eb3ea91016f9313227d16e85041d3d2/Sustainability%20policy.pdf</w:t>
      </w:r>
    </w:p>
    <w:p w14:paraId="058F6957" w14:textId="77777777" w:rsidR="00161DE2" w:rsidRPr="00694EB5" w:rsidRDefault="00161DE2" w:rsidP="00161DE2">
      <w:pPr>
        <w:rPr>
          <w:lang w:val="en-US"/>
        </w:rPr>
      </w:pPr>
      <w:r w:rsidRPr="00694EB5">
        <w:rPr>
          <w:lang w:val="en-US"/>
        </w:rPr>
        <w:t xml:space="preserve">• PYMNTS. (2024, 10 </w:t>
      </w:r>
      <w:proofErr w:type="spellStart"/>
      <w:r w:rsidRPr="00694EB5">
        <w:rPr>
          <w:lang w:val="en-US"/>
        </w:rPr>
        <w:t>oktober</w:t>
      </w:r>
      <w:proofErr w:type="spellEnd"/>
      <w:r w:rsidRPr="00694EB5">
        <w:rPr>
          <w:lang w:val="en-US"/>
        </w:rPr>
        <w:t>). Fidelity Investments discloses data breach affecting 77,099 customers. https://www.pymnts.com/news/security-and-risk/2024/fidelity-investments-discloses-data-breach-affecting-77099-customers/</w:t>
      </w:r>
    </w:p>
    <w:p w14:paraId="69C8D411" w14:textId="77777777" w:rsidR="00161DE2" w:rsidRPr="00694EB5" w:rsidRDefault="00161DE2" w:rsidP="00161DE2">
      <w:pPr>
        <w:rPr>
          <w:lang w:val="de-DE"/>
        </w:rPr>
      </w:pPr>
      <w:r w:rsidRPr="00694EB5">
        <w:rPr>
          <w:lang w:val="en-US"/>
        </w:rPr>
        <w:t xml:space="preserve">• Posner, M. (2024, September 4). How BlackRock abandoned social and environmental engagement. </w:t>
      </w:r>
      <w:r w:rsidRPr="00694EB5">
        <w:rPr>
          <w:lang w:val="de-DE"/>
        </w:rPr>
        <w:t>Forbes. https://www.forbes.com/sites/michaelposner/2024/09/04/how-blackrock-abandoned-social-and-environmental-engagement/</w:t>
      </w:r>
    </w:p>
    <w:p w14:paraId="587C897C" w14:textId="77777777" w:rsidR="00161DE2" w:rsidRPr="00694EB5" w:rsidRDefault="00161DE2" w:rsidP="00161DE2">
      <w:pPr>
        <w:rPr>
          <w:lang w:val="en-US"/>
        </w:rPr>
      </w:pPr>
      <w:r w:rsidRPr="00694EB5">
        <w:rPr>
          <w:lang w:val="de-DE"/>
        </w:rPr>
        <w:t xml:space="preserve">• Reuters. </w:t>
      </w:r>
      <w:r w:rsidRPr="00694EB5">
        <w:rPr>
          <w:lang w:val="en-US"/>
        </w:rPr>
        <w:t xml:space="preserve">(2024, 27 </w:t>
      </w:r>
      <w:proofErr w:type="spellStart"/>
      <w:r w:rsidRPr="00694EB5">
        <w:rPr>
          <w:lang w:val="en-US"/>
        </w:rPr>
        <w:t>november</w:t>
      </w:r>
      <w:proofErr w:type="spellEnd"/>
      <w:r w:rsidRPr="00694EB5">
        <w:rPr>
          <w:lang w:val="en-US"/>
        </w:rPr>
        <w:t>). BlackRock, Vanguard, State Street sued by Republican states over climate push. https://www.reuters.com/legal/blackrock-state-street-vanguard-sued-by-republican-states-over-climate-accords-2024-11-27/</w:t>
      </w:r>
    </w:p>
    <w:p w14:paraId="3CB336CF" w14:textId="77777777" w:rsidR="00161DE2" w:rsidRPr="00694EB5" w:rsidRDefault="00161DE2" w:rsidP="00161DE2">
      <w:pPr>
        <w:rPr>
          <w:lang w:val="en-US"/>
        </w:rPr>
      </w:pPr>
      <w:r w:rsidRPr="00694EB5">
        <w:rPr>
          <w:lang w:val="en-US"/>
        </w:rPr>
        <w:t xml:space="preserve">• Reuters. (2025, 17 </w:t>
      </w:r>
      <w:proofErr w:type="spellStart"/>
      <w:r w:rsidRPr="00694EB5">
        <w:rPr>
          <w:lang w:val="en-US"/>
        </w:rPr>
        <w:t>januari</w:t>
      </w:r>
      <w:proofErr w:type="spellEnd"/>
      <w:r w:rsidRPr="00694EB5">
        <w:rPr>
          <w:lang w:val="en-US"/>
        </w:rPr>
        <w:t>). BlackRock agrees to new ESG disclosures in Tennessee settlement. https://www.reuters.com/business/finance/tennessee-attorney-general-settles-esg-dispute-with-blackrock-2025-01-17/</w:t>
      </w:r>
    </w:p>
    <w:p w14:paraId="424A7818" w14:textId="77777777" w:rsidR="00161DE2" w:rsidRPr="00694EB5" w:rsidRDefault="00161DE2" w:rsidP="00161DE2">
      <w:pPr>
        <w:rPr>
          <w:lang w:val="en-US"/>
        </w:rPr>
      </w:pPr>
      <w:r w:rsidRPr="00694EB5">
        <w:rPr>
          <w:lang w:val="en-US"/>
        </w:rPr>
        <w:t xml:space="preserve">• Reuters. (2025, 31 </w:t>
      </w:r>
      <w:proofErr w:type="spellStart"/>
      <w:r w:rsidRPr="00694EB5">
        <w:rPr>
          <w:lang w:val="en-US"/>
        </w:rPr>
        <w:t>maart</w:t>
      </w:r>
      <w:proofErr w:type="spellEnd"/>
      <w:r w:rsidRPr="00694EB5">
        <w:rPr>
          <w:lang w:val="en-US"/>
        </w:rPr>
        <w:t>). Allianz scraps nuclear, military exclusions to back Europe’s rearmament drive. https://www.reuters.com/business/finance/allianz-scraps-nuclear-military-exclusions-back-europes-rearmament-drive-2025-03-31/</w:t>
      </w:r>
    </w:p>
    <w:p w14:paraId="3DEE02D7" w14:textId="77777777" w:rsidR="00161DE2" w:rsidRPr="00694EB5" w:rsidRDefault="00161DE2" w:rsidP="00161DE2">
      <w:pPr>
        <w:rPr>
          <w:lang w:val="en-US"/>
        </w:rPr>
      </w:pPr>
      <w:r w:rsidRPr="00694EB5">
        <w:rPr>
          <w:lang w:val="en-US"/>
        </w:rPr>
        <w:t xml:space="preserve">• Robeco. (2025). Robeco Sustainable Global Bonds DH EUR – </w:t>
      </w:r>
      <w:proofErr w:type="spellStart"/>
      <w:r w:rsidRPr="00694EB5">
        <w:rPr>
          <w:lang w:val="en-US"/>
        </w:rPr>
        <w:t>Duurzaamheidsinformatie</w:t>
      </w:r>
      <w:proofErr w:type="spellEnd"/>
      <w:r w:rsidRPr="00694EB5">
        <w:rPr>
          <w:lang w:val="en-US"/>
        </w:rPr>
        <w:t xml:space="preserve"> &amp; </w:t>
      </w:r>
      <w:proofErr w:type="spellStart"/>
      <w:r w:rsidRPr="00694EB5">
        <w:rPr>
          <w:lang w:val="en-US"/>
        </w:rPr>
        <w:t>fondsdocumentatie</w:t>
      </w:r>
      <w:proofErr w:type="spellEnd"/>
      <w:r w:rsidRPr="00694EB5">
        <w:rPr>
          <w:lang w:val="en-US"/>
        </w:rPr>
        <w:t>. https://www.robeco.com/nl-nl/producten/fondsen/isin-lu2885076518/robeco-sustainable-global-bonds-dh-eur?tab=documents</w:t>
      </w:r>
    </w:p>
    <w:p w14:paraId="6EEFCEF0" w14:textId="77777777" w:rsidR="00161DE2" w:rsidRPr="00694EB5" w:rsidRDefault="00161DE2" w:rsidP="00161DE2">
      <w:pPr>
        <w:rPr>
          <w:lang w:val="en-US"/>
        </w:rPr>
      </w:pPr>
      <w:r w:rsidRPr="00694EB5">
        <w:rPr>
          <w:lang w:val="en-US"/>
        </w:rPr>
        <w:t>• Robeco. (2025). Robeco Sustainable Global Bonds DH EUR – Factsheet. https://www.robeco.com/files/doca/CGF_SGB_DH-fact-202508-profhken.pdf</w:t>
      </w:r>
    </w:p>
    <w:p w14:paraId="00E2CF6B" w14:textId="77777777" w:rsidR="00161DE2" w:rsidRPr="00694EB5" w:rsidRDefault="00161DE2" w:rsidP="00161DE2">
      <w:pPr>
        <w:rPr>
          <w:lang w:val="en-US"/>
        </w:rPr>
      </w:pPr>
      <w:r w:rsidRPr="00694EB5">
        <w:rPr>
          <w:lang w:val="en-US"/>
        </w:rPr>
        <w:t>• SEC. (2025, January). The Vanguard Group, Inc. will pay $106.41 million to settle charges… SEC News. https://www.sec.gov/newsroom/press-releases/2025-21</w:t>
      </w:r>
    </w:p>
    <w:p w14:paraId="183BE3A9" w14:textId="77777777" w:rsidR="00161DE2" w:rsidRPr="00694EB5" w:rsidRDefault="00161DE2" w:rsidP="00161DE2">
      <w:pPr>
        <w:rPr>
          <w:lang w:val="en-US"/>
        </w:rPr>
      </w:pPr>
      <w:r w:rsidRPr="00694EB5">
        <w:rPr>
          <w:lang w:val="en-US"/>
        </w:rPr>
        <w:lastRenderedPageBreak/>
        <w:t>• The Australian. (2024, March 28). ‘</w:t>
      </w:r>
      <w:proofErr w:type="spellStart"/>
      <w:r w:rsidRPr="00694EB5">
        <w:rPr>
          <w:lang w:val="en-US"/>
        </w:rPr>
        <w:t>Greenwasher</w:t>
      </w:r>
      <w:proofErr w:type="spellEnd"/>
      <w:r w:rsidRPr="00694EB5">
        <w:rPr>
          <w:lang w:val="en-US"/>
        </w:rPr>
        <w:t>’ Vanguard to learn its penalty. https://www.theaustralian.com.au/business/legal-affairs/asic-wins-first-greenwashing-case-but-court-rejects-parts-of-claim/news-story/03fc04803406451ff843b473ed3175b2</w:t>
      </w:r>
    </w:p>
    <w:p w14:paraId="4C998F2E" w14:textId="77777777" w:rsidR="00161DE2" w:rsidRPr="00694EB5" w:rsidRDefault="00161DE2" w:rsidP="00161DE2">
      <w:pPr>
        <w:rPr>
          <w:lang w:val="en-US"/>
        </w:rPr>
      </w:pPr>
      <w:r w:rsidRPr="00694EB5">
        <w:rPr>
          <w:lang w:val="en-US"/>
        </w:rPr>
        <w:t>• The Guardian. (2024, November 20). BlackRock accused of contributing to climate and human rights abuses. https://www.theguardian.com/environment/2024/nov/20/blackrock-climate-human-rights</w:t>
      </w:r>
    </w:p>
    <w:p w14:paraId="3A16B350" w14:textId="77777777" w:rsidR="00161DE2" w:rsidRPr="00694EB5" w:rsidRDefault="00161DE2" w:rsidP="00161DE2">
      <w:pPr>
        <w:rPr>
          <w:lang w:val="en-US"/>
        </w:rPr>
      </w:pPr>
      <w:r w:rsidRPr="00694EB5">
        <w:rPr>
          <w:lang w:val="en-US"/>
        </w:rPr>
        <w:t xml:space="preserve">• The Guardian. (2025, 18 </w:t>
      </w:r>
      <w:proofErr w:type="spellStart"/>
      <w:r w:rsidRPr="00694EB5">
        <w:rPr>
          <w:lang w:val="en-US"/>
        </w:rPr>
        <w:t>februari</w:t>
      </w:r>
      <w:proofErr w:type="spellEnd"/>
      <w:r w:rsidRPr="00694EB5">
        <w:rPr>
          <w:lang w:val="en-US"/>
        </w:rPr>
        <w:t>). Support for ESG proposals at record low… https://www.theguardian.com/business/2025/feb/18/support-for-esg-proposals-at-record-low-driven-by-us-investors-report-shows</w:t>
      </w:r>
    </w:p>
    <w:p w14:paraId="13E9CCE5" w14:textId="77777777" w:rsidR="00161DE2" w:rsidRPr="00694EB5" w:rsidRDefault="00161DE2" w:rsidP="00161DE2">
      <w:pPr>
        <w:rPr>
          <w:lang w:val="en-US"/>
        </w:rPr>
      </w:pPr>
      <w:r w:rsidRPr="00694EB5">
        <w:rPr>
          <w:lang w:val="en-US"/>
        </w:rPr>
        <w:t xml:space="preserve">• Vanguard. (2024). Our approach to ESG. The Vanguard Group. </w:t>
      </w:r>
      <w:hyperlink r:id="rId9" w:history="1">
        <w:r w:rsidRPr="00694EB5">
          <w:rPr>
            <w:rStyle w:val="Hyperlink"/>
            <w:lang w:val="en-US"/>
          </w:rPr>
          <w:t>https://corporate.vanguard.com/content/corporatesite/us/en/corp/how-we-invest/responsible-investment.html</w:t>
        </w:r>
      </w:hyperlink>
      <w:r w:rsidRPr="00694EB5">
        <w:rPr>
          <w:lang w:val="en-US"/>
        </w:rPr>
        <w:t xml:space="preserve"> </w:t>
      </w:r>
    </w:p>
    <w:p w14:paraId="0B6635F3" w14:textId="77777777" w:rsidR="00161DE2" w:rsidRPr="0070019F" w:rsidRDefault="00161DE2" w:rsidP="00161DE2">
      <w:r w:rsidRPr="00694EB5">
        <w:rPr>
          <w:lang w:val="en-US"/>
        </w:rPr>
        <w:t>• Vanguard. (</w:t>
      </w:r>
      <w:proofErr w:type="spellStart"/>
      <w:r w:rsidRPr="00694EB5">
        <w:rPr>
          <w:lang w:val="en-US"/>
        </w:rPr>
        <w:t>z.d</w:t>
      </w:r>
      <w:proofErr w:type="spellEnd"/>
      <w:r w:rsidRPr="00694EB5">
        <w:rPr>
          <w:lang w:val="en-US"/>
        </w:rPr>
        <w:t xml:space="preserve">.). Corporate sustainability. The Vanguard Group. </w:t>
      </w:r>
      <w:hyperlink r:id="rId10" w:history="1">
        <w:r w:rsidRPr="0070019F">
          <w:rPr>
            <w:rStyle w:val="Hyperlink"/>
          </w:rPr>
          <w:t>https://corporate.vanguard.com/content/corporatesite/us/en/corp/who-we-are/we-care-about/sustainability.html</w:t>
        </w:r>
      </w:hyperlink>
      <w:r w:rsidRPr="0070019F">
        <w:t xml:space="preserve"> </w:t>
      </w:r>
    </w:p>
    <w:p w14:paraId="6B306D10" w14:textId="77777777" w:rsidR="00161DE2" w:rsidRPr="00694EB5" w:rsidRDefault="00161DE2" w:rsidP="00161DE2">
      <w:pPr>
        <w:rPr>
          <w:lang w:val="en-US"/>
        </w:rPr>
      </w:pPr>
      <w:r w:rsidRPr="00694EB5">
        <w:rPr>
          <w:lang w:val="en-US"/>
        </w:rPr>
        <w:t>• Vanguard. (</w:t>
      </w:r>
      <w:proofErr w:type="spellStart"/>
      <w:r w:rsidRPr="00694EB5">
        <w:rPr>
          <w:lang w:val="en-US"/>
        </w:rPr>
        <w:t>z.d</w:t>
      </w:r>
      <w:proofErr w:type="spellEnd"/>
      <w:r w:rsidRPr="00694EB5">
        <w:rPr>
          <w:lang w:val="en-US"/>
        </w:rPr>
        <w:t xml:space="preserve">.). Responsible Investment Policy. The Vanguard Group. </w:t>
      </w:r>
      <w:hyperlink r:id="rId11" w:history="1">
        <w:r w:rsidRPr="000C11C0">
          <w:rPr>
            <w:rStyle w:val="Hyperlink"/>
            <w:lang w:val="en-US"/>
          </w:rPr>
          <w:t>https://corporate.vanguard.com/content/dam/corp/invest/pdf/vanguard_responsible_investment_policy.pdf</w:t>
        </w:r>
      </w:hyperlink>
      <w:r>
        <w:rPr>
          <w:lang w:val="en-US"/>
        </w:rPr>
        <w:t xml:space="preserve"> </w:t>
      </w:r>
    </w:p>
    <w:p w14:paraId="1767D8C2" w14:textId="77777777" w:rsidR="0006521E" w:rsidRDefault="0006521E">
      <w:pPr>
        <w:rPr>
          <w:lang w:val="en-US"/>
        </w:rPr>
      </w:pPr>
    </w:p>
    <w:p w14:paraId="638F80C8" w14:textId="77777777" w:rsidR="00161DE2" w:rsidRDefault="00161DE2">
      <w:pPr>
        <w:rPr>
          <w:lang w:val="en-US"/>
        </w:rPr>
      </w:pPr>
    </w:p>
    <w:p w14:paraId="71FA2453" w14:textId="77777777" w:rsidR="00161DE2" w:rsidRDefault="00161DE2">
      <w:pPr>
        <w:rPr>
          <w:lang w:val="en-US"/>
        </w:rPr>
      </w:pPr>
    </w:p>
    <w:p w14:paraId="3C99CF58" w14:textId="77777777" w:rsidR="00161DE2" w:rsidRDefault="00161DE2">
      <w:pPr>
        <w:rPr>
          <w:lang w:val="en-US"/>
        </w:rPr>
      </w:pPr>
    </w:p>
    <w:p w14:paraId="6598F6D7" w14:textId="77777777" w:rsidR="00161DE2" w:rsidRDefault="00161DE2">
      <w:pPr>
        <w:rPr>
          <w:lang w:val="en-US"/>
        </w:rPr>
      </w:pPr>
    </w:p>
    <w:p w14:paraId="6D8D265E" w14:textId="77777777" w:rsidR="00161DE2" w:rsidRDefault="00161DE2">
      <w:pPr>
        <w:rPr>
          <w:lang w:val="en-US"/>
        </w:rPr>
      </w:pPr>
    </w:p>
    <w:p w14:paraId="0C04E339" w14:textId="77777777" w:rsidR="00161DE2" w:rsidRDefault="00161DE2">
      <w:pPr>
        <w:rPr>
          <w:lang w:val="en-US"/>
        </w:rPr>
      </w:pPr>
    </w:p>
    <w:p w14:paraId="005B8A09" w14:textId="77777777" w:rsidR="00161DE2" w:rsidRDefault="00161DE2">
      <w:pPr>
        <w:rPr>
          <w:lang w:val="en-US"/>
        </w:rPr>
      </w:pPr>
    </w:p>
    <w:p w14:paraId="58E9BA41" w14:textId="77777777" w:rsidR="00161DE2" w:rsidRDefault="00161DE2">
      <w:pPr>
        <w:rPr>
          <w:lang w:val="en-US"/>
        </w:rPr>
      </w:pPr>
    </w:p>
    <w:p w14:paraId="74C24892" w14:textId="77777777" w:rsidR="00161DE2" w:rsidRDefault="00161DE2">
      <w:pPr>
        <w:rPr>
          <w:lang w:val="en-US"/>
        </w:rPr>
      </w:pPr>
    </w:p>
    <w:p w14:paraId="776486A5" w14:textId="77777777" w:rsidR="00161DE2" w:rsidRDefault="00161DE2">
      <w:pPr>
        <w:rPr>
          <w:lang w:val="en-US"/>
        </w:rPr>
      </w:pPr>
    </w:p>
    <w:p w14:paraId="21B362A0" w14:textId="77777777" w:rsidR="00161DE2" w:rsidRDefault="00161DE2">
      <w:pPr>
        <w:rPr>
          <w:lang w:val="en-US"/>
        </w:rPr>
      </w:pPr>
    </w:p>
    <w:p w14:paraId="367C4268" w14:textId="77777777" w:rsidR="00161DE2" w:rsidRDefault="00161DE2" w:rsidP="00161DE2">
      <w:pPr>
        <w:rPr>
          <w:b/>
          <w:bCs/>
          <w:sz w:val="40"/>
          <w:szCs w:val="40"/>
        </w:rPr>
      </w:pPr>
      <w:r w:rsidRPr="00966214">
        <w:rPr>
          <w:b/>
          <w:bCs/>
          <w:sz w:val="40"/>
          <w:szCs w:val="40"/>
        </w:rPr>
        <w:lastRenderedPageBreak/>
        <w:t xml:space="preserve">Analyse beleggingsfondsen </w:t>
      </w:r>
      <w:proofErr w:type="spellStart"/>
      <w:r w:rsidRPr="00966214">
        <w:rPr>
          <w:b/>
          <w:bCs/>
          <w:sz w:val="40"/>
          <w:szCs w:val="40"/>
        </w:rPr>
        <w:t>Brett</w:t>
      </w:r>
      <w:proofErr w:type="spellEnd"/>
      <w:r w:rsidRPr="00966214">
        <w:rPr>
          <w:b/>
          <w:bCs/>
          <w:sz w:val="40"/>
          <w:szCs w:val="40"/>
        </w:rPr>
        <w:t xml:space="preserve"> Kramer</w:t>
      </w:r>
    </w:p>
    <w:p w14:paraId="580C5071" w14:textId="77777777" w:rsidR="00161DE2" w:rsidRPr="00966214" w:rsidRDefault="00161DE2" w:rsidP="00161DE2">
      <w:pPr>
        <w:rPr>
          <w:b/>
          <w:bCs/>
          <w:sz w:val="40"/>
          <w:szCs w:val="40"/>
        </w:rPr>
      </w:pPr>
    </w:p>
    <w:p w14:paraId="6B76F5E2" w14:textId="77777777" w:rsidR="00161DE2" w:rsidRDefault="00161DE2" w:rsidP="00161DE2">
      <w:r>
        <w:rPr>
          <w:noProof/>
        </w:rPr>
        <w:drawing>
          <wp:inline distT="0" distB="0" distL="0" distR="0" wp14:anchorId="5032C261" wp14:editId="4657DD61">
            <wp:extent cx="5381897" cy="4330127"/>
            <wp:effectExtent l="0" t="0" r="3175" b="635"/>
            <wp:docPr id="1476277045" name="Afbeelding 1" descr="Afbeelding met tekst, schermopname,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277045" name="Afbeelding 1" descr="Afbeelding met tekst, schermopname, Lettertype, logo&#10;&#10;Automatisch gegenereerde beschrijving"/>
                    <pic:cNvPicPr/>
                  </pic:nvPicPr>
                  <pic:blipFill rotWithShape="1">
                    <a:blip r:embed="rId12">
                      <a:extLst>
                        <a:ext uri="{28A0092B-C50C-407E-A947-70E740481C1C}">
                          <a14:useLocalDpi xmlns:a14="http://schemas.microsoft.com/office/drawing/2010/main" val="0"/>
                        </a:ext>
                      </a:extLst>
                    </a:blip>
                    <a:srcRect l="16195" r="15084"/>
                    <a:stretch/>
                  </pic:blipFill>
                  <pic:spPr bwMode="auto">
                    <a:xfrm>
                      <a:off x="0" y="0"/>
                      <a:ext cx="5417049" cy="4358409"/>
                    </a:xfrm>
                    <a:prstGeom prst="rect">
                      <a:avLst/>
                    </a:prstGeom>
                    <a:ln>
                      <a:noFill/>
                    </a:ln>
                    <a:extLst>
                      <a:ext uri="{53640926-AAD7-44D8-BBD7-CCE9431645EC}">
                        <a14:shadowObscured xmlns:a14="http://schemas.microsoft.com/office/drawing/2010/main"/>
                      </a:ext>
                    </a:extLst>
                  </pic:spPr>
                </pic:pic>
              </a:graphicData>
            </a:graphic>
          </wp:inline>
        </w:drawing>
      </w:r>
    </w:p>
    <w:p w14:paraId="4DC3E273" w14:textId="77777777" w:rsidR="00161DE2" w:rsidRDefault="00161DE2" w:rsidP="00161DE2"/>
    <w:p w14:paraId="6ED33FA6" w14:textId="77777777" w:rsidR="00161DE2" w:rsidRDefault="00161DE2" w:rsidP="00161DE2"/>
    <w:p w14:paraId="393DB665" w14:textId="77777777" w:rsidR="00161DE2" w:rsidRDefault="00161DE2" w:rsidP="00161DE2"/>
    <w:p w14:paraId="0F8B1A89" w14:textId="77777777" w:rsidR="00161DE2" w:rsidRDefault="00161DE2" w:rsidP="00161DE2"/>
    <w:p w14:paraId="6685A513" w14:textId="77777777" w:rsidR="00161DE2" w:rsidRDefault="00161DE2" w:rsidP="00161DE2"/>
    <w:p w14:paraId="301AC9A8" w14:textId="77777777" w:rsidR="00161DE2" w:rsidRDefault="00161DE2" w:rsidP="00161DE2"/>
    <w:p w14:paraId="0EB70042" w14:textId="77777777" w:rsidR="00161DE2" w:rsidRDefault="00161DE2" w:rsidP="00161DE2"/>
    <w:p w14:paraId="1D91AFBB" w14:textId="77777777" w:rsidR="00161DE2" w:rsidRDefault="00161DE2" w:rsidP="00161DE2"/>
    <w:p w14:paraId="790F64E8" w14:textId="77777777" w:rsidR="00161DE2" w:rsidRDefault="00161DE2" w:rsidP="00161DE2"/>
    <w:p w14:paraId="5E9F1F86" w14:textId="77777777" w:rsidR="00161DE2" w:rsidRDefault="00161DE2" w:rsidP="00161DE2"/>
    <w:p w14:paraId="198952A4" w14:textId="77777777" w:rsidR="00161DE2" w:rsidRDefault="00161DE2" w:rsidP="00161DE2"/>
    <w:p w14:paraId="443413D4" w14:textId="77777777" w:rsidR="00161DE2" w:rsidRDefault="00161DE2" w:rsidP="00161DE2"/>
    <w:p w14:paraId="1CE972FA" w14:textId="77777777" w:rsidR="00161DE2" w:rsidRDefault="00161DE2" w:rsidP="00161DE2"/>
    <w:p w14:paraId="42EC94D2" w14:textId="77777777" w:rsidR="00161DE2" w:rsidRDefault="00161DE2" w:rsidP="00161DE2"/>
    <w:p w14:paraId="09161861" w14:textId="77777777" w:rsidR="00161DE2" w:rsidRDefault="00161DE2" w:rsidP="00161DE2"/>
    <w:p w14:paraId="2FB1FDC8" w14:textId="77777777" w:rsidR="00161DE2" w:rsidRDefault="00161DE2" w:rsidP="00161DE2"/>
    <w:p w14:paraId="5A61B281" w14:textId="77777777" w:rsidR="00161DE2" w:rsidRPr="007516EC" w:rsidRDefault="00161DE2" w:rsidP="00161DE2"/>
    <w:sdt>
      <w:sdtPr>
        <w:rPr>
          <w:rFonts w:asciiTheme="minorHAnsi" w:eastAsiaTheme="minorHAnsi" w:hAnsiTheme="minorHAnsi" w:cstheme="minorBidi"/>
          <w:b w:val="0"/>
          <w:bCs w:val="0"/>
          <w:color w:val="auto"/>
          <w:kern w:val="2"/>
          <w:sz w:val="24"/>
          <w:szCs w:val="24"/>
          <w:lang w:eastAsia="en-US"/>
          <w14:ligatures w14:val="standardContextual"/>
        </w:rPr>
        <w:id w:val="-57472757"/>
        <w:docPartObj>
          <w:docPartGallery w:val="Table of Contents"/>
          <w:docPartUnique/>
        </w:docPartObj>
      </w:sdtPr>
      <w:sdtEndPr>
        <w:rPr>
          <w:noProof/>
        </w:rPr>
      </w:sdtEndPr>
      <w:sdtContent>
        <w:p w14:paraId="7109D853" w14:textId="77777777" w:rsidR="00161DE2" w:rsidRDefault="00161DE2" w:rsidP="00161DE2">
          <w:pPr>
            <w:pStyle w:val="Kopvaninhoudsopgave"/>
          </w:pPr>
          <w:r>
            <w:t>Inhoudsopgave</w:t>
          </w:r>
        </w:p>
        <w:p w14:paraId="21BCE3B6" w14:textId="77777777" w:rsidR="00161DE2" w:rsidRDefault="00161DE2" w:rsidP="00161DE2">
          <w:pPr>
            <w:pStyle w:val="Inhopg1"/>
            <w:tabs>
              <w:tab w:val="right" w:leader="dot" w:pos="9062"/>
            </w:tabs>
            <w:rPr>
              <w:rFonts w:eastAsiaTheme="minorEastAsia"/>
              <w:b w:val="0"/>
              <w:bCs w:val="0"/>
              <w:caps w:val="0"/>
              <w:noProof/>
              <w:sz w:val="24"/>
              <w:szCs w:val="24"/>
              <w:lang w:eastAsia="nl-NL"/>
            </w:rPr>
          </w:pPr>
          <w:r>
            <w:rPr>
              <w:b w:val="0"/>
              <w:bCs w:val="0"/>
            </w:rPr>
            <w:fldChar w:fldCharType="begin"/>
          </w:r>
          <w:r>
            <w:instrText>TOC \o "1-3" \h \z \u</w:instrText>
          </w:r>
          <w:r>
            <w:rPr>
              <w:b w:val="0"/>
              <w:bCs w:val="0"/>
            </w:rPr>
            <w:fldChar w:fldCharType="separate"/>
          </w:r>
          <w:hyperlink w:anchor="_Toc213749936" w:history="1">
            <w:r w:rsidRPr="00F734E4">
              <w:rPr>
                <w:rStyle w:val="Hyperlink"/>
                <w:noProof/>
              </w:rPr>
              <w:t>Robeco</w:t>
            </w:r>
            <w:r>
              <w:rPr>
                <w:noProof/>
                <w:webHidden/>
              </w:rPr>
              <w:tab/>
            </w:r>
            <w:r>
              <w:rPr>
                <w:noProof/>
                <w:webHidden/>
              </w:rPr>
              <w:fldChar w:fldCharType="begin"/>
            </w:r>
            <w:r>
              <w:rPr>
                <w:noProof/>
                <w:webHidden/>
              </w:rPr>
              <w:instrText xml:space="preserve"> PAGEREF _Toc213749936 \h </w:instrText>
            </w:r>
            <w:r>
              <w:rPr>
                <w:noProof/>
                <w:webHidden/>
              </w:rPr>
            </w:r>
            <w:r>
              <w:rPr>
                <w:noProof/>
                <w:webHidden/>
              </w:rPr>
              <w:fldChar w:fldCharType="separate"/>
            </w:r>
            <w:r>
              <w:rPr>
                <w:noProof/>
                <w:webHidden/>
              </w:rPr>
              <w:t>3</w:t>
            </w:r>
            <w:r>
              <w:rPr>
                <w:noProof/>
                <w:webHidden/>
              </w:rPr>
              <w:fldChar w:fldCharType="end"/>
            </w:r>
          </w:hyperlink>
        </w:p>
        <w:p w14:paraId="667884D2" w14:textId="77777777" w:rsidR="00161DE2" w:rsidRDefault="00161DE2" w:rsidP="00161DE2">
          <w:pPr>
            <w:pStyle w:val="Inhopg2"/>
            <w:tabs>
              <w:tab w:val="right" w:leader="dot" w:pos="9062"/>
            </w:tabs>
            <w:rPr>
              <w:rFonts w:eastAsiaTheme="minorEastAsia"/>
              <w:smallCaps w:val="0"/>
              <w:noProof/>
              <w:sz w:val="24"/>
              <w:szCs w:val="24"/>
              <w:lang w:eastAsia="nl-NL"/>
            </w:rPr>
          </w:pPr>
          <w:hyperlink w:anchor="_Toc213749937" w:history="1">
            <w:r w:rsidRPr="00F734E4">
              <w:rPr>
                <w:rStyle w:val="Hyperlink"/>
                <w:noProof/>
              </w:rPr>
              <w:t>1. Duurzaamheidsbeleid</w:t>
            </w:r>
            <w:r>
              <w:rPr>
                <w:noProof/>
                <w:webHidden/>
              </w:rPr>
              <w:tab/>
            </w:r>
            <w:r>
              <w:rPr>
                <w:noProof/>
                <w:webHidden/>
              </w:rPr>
              <w:fldChar w:fldCharType="begin"/>
            </w:r>
            <w:r>
              <w:rPr>
                <w:noProof/>
                <w:webHidden/>
              </w:rPr>
              <w:instrText xml:space="preserve"> PAGEREF _Toc213749937 \h </w:instrText>
            </w:r>
            <w:r>
              <w:rPr>
                <w:noProof/>
                <w:webHidden/>
              </w:rPr>
            </w:r>
            <w:r>
              <w:rPr>
                <w:noProof/>
                <w:webHidden/>
              </w:rPr>
              <w:fldChar w:fldCharType="separate"/>
            </w:r>
            <w:r>
              <w:rPr>
                <w:noProof/>
                <w:webHidden/>
              </w:rPr>
              <w:t>3</w:t>
            </w:r>
            <w:r>
              <w:rPr>
                <w:noProof/>
                <w:webHidden/>
              </w:rPr>
              <w:fldChar w:fldCharType="end"/>
            </w:r>
          </w:hyperlink>
        </w:p>
        <w:p w14:paraId="388C65F9" w14:textId="77777777" w:rsidR="00161DE2" w:rsidRDefault="00161DE2" w:rsidP="00161DE2">
          <w:pPr>
            <w:pStyle w:val="Inhopg2"/>
            <w:tabs>
              <w:tab w:val="right" w:leader="dot" w:pos="9062"/>
            </w:tabs>
            <w:rPr>
              <w:rFonts w:eastAsiaTheme="minorEastAsia"/>
              <w:smallCaps w:val="0"/>
              <w:noProof/>
              <w:sz w:val="24"/>
              <w:szCs w:val="24"/>
              <w:lang w:eastAsia="nl-NL"/>
            </w:rPr>
          </w:pPr>
          <w:hyperlink w:anchor="_Toc213749938" w:history="1">
            <w:r w:rsidRPr="00F734E4">
              <w:rPr>
                <w:rStyle w:val="Hyperlink"/>
                <w:noProof/>
              </w:rPr>
              <w:t>2. Governance</w:t>
            </w:r>
            <w:r>
              <w:rPr>
                <w:noProof/>
                <w:webHidden/>
              </w:rPr>
              <w:tab/>
            </w:r>
            <w:r>
              <w:rPr>
                <w:noProof/>
                <w:webHidden/>
              </w:rPr>
              <w:fldChar w:fldCharType="begin"/>
            </w:r>
            <w:r>
              <w:rPr>
                <w:noProof/>
                <w:webHidden/>
              </w:rPr>
              <w:instrText xml:space="preserve"> PAGEREF _Toc213749938 \h </w:instrText>
            </w:r>
            <w:r>
              <w:rPr>
                <w:noProof/>
                <w:webHidden/>
              </w:rPr>
            </w:r>
            <w:r>
              <w:rPr>
                <w:noProof/>
                <w:webHidden/>
              </w:rPr>
              <w:fldChar w:fldCharType="separate"/>
            </w:r>
            <w:r>
              <w:rPr>
                <w:noProof/>
                <w:webHidden/>
              </w:rPr>
              <w:t>3</w:t>
            </w:r>
            <w:r>
              <w:rPr>
                <w:noProof/>
                <w:webHidden/>
              </w:rPr>
              <w:fldChar w:fldCharType="end"/>
            </w:r>
          </w:hyperlink>
        </w:p>
        <w:p w14:paraId="7D30DAB1" w14:textId="77777777" w:rsidR="00161DE2" w:rsidRDefault="00161DE2" w:rsidP="00161DE2">
          <w:pPr>
            <w:pStyle w:val="Inhopg2"/>
            <w:tabs>
              <w:tab w:val="right" w:leader="dot" w:pos="9062"/>
            </w:tabs>
            <w:rPr>
              <w:rFonts w:eastAsiaTheme="minorEastAsia"/>
              <w:smallCaps w:val="0"/>
              <w:noProof/>
              <w:sz w:val="24"/>
              <w:szCs w:val="24"/>
              <w:lang w:eastAsia="nl-NL"/>
            </w:rPr>
          </w:pPr>
          <w:hyperlink w:anchor="_Toc213749939" w:history="1">
            <w:r w:rsidRPr="00F734E4">
              <w:rPr>
                <w:rStyle w:val="Hyperlink"/>
                <w:noProof/>
              </w:rPr>
              <w:t>3. Bad Press</w:t>
            </w:r>
            <w:r>
              <w:rPr>
                <w:noProof/>
                <w:webHidden/>
              </w:rPr>
              <w:tab/>
            </w:r>
            <w:r>
              <w:rPr>
                <w:noProof/>
                <w:webHidden/>
              </w:rPr>
              <w:fldChar w:fldCharType="begin"/>
            </w:r>
            <w:r>
              <w:rPr>
                <w:noProof/>
                <w:webHidden/>
              </w:rPr>
              <w:instrText xml:space="preserve"> PAGEREF _Toc213749939 \h </w:instrText>
            </w:r>
            <w:r>
              <w:rPr>
                <w:noProof/>
                <w:webHidden/>
              </w:rPr>
            </w:r>
            <w:r>
              <w:rPr>
                <w:noProof/>
                <w:webHidden/>
              </w:rPr>
              <w:fldChar w:fldCharType="separate"/>
            </w:r>
            <w:r>
              <w:rPr>
                <w:noProof/>
                <w:webHidden/>
              </w:rPr>
              <w:t>4</w:t>
            </w:r>
            <w:r>
              <w:rPr>
                <w:noProof/>
                <w:webHidden/>
              </w:rPr>
              <w:fldChar w:fldCharType="end"/>
            </w:r>
          </w:hyperlink>
        </w:p>
        <w:p w14:paraId="5642C551" w14:textId="77777777" w:rsidR="00161DE2" w:rsidRDefault="00161DE2" w:rsidP="00161DE2">
          <w:pPr>
            <w:pStyle w:val="Inhopg2"/>
            <w:tabs>
              <w:tab w:val="right" w:leader="dot" w:pos="9062"/>
            </w:tabs>
            <w:rPr>
              <w:rFonts w:eastAsiaTheme="minorEastAsia"/>
              <w:smallCaps w:val="0"/>
              <w:noProof/>
              <w:sz w:val="24"/>
              <w:szCs w:val="24"/>
              <w:lang w:eastAsia="nl-NL"/>
            </w:rPr>
          </w:pPr>
          <w:hyperlink w:anchor="_Toc213749940" w:history="1">
            <w:r w:rsidRPr="00F734E4">
              <w:rPr>
                <w:rStyle w:val="Hyperlink"/>
                <w:noProof/>
              </w:rPr>
              <w:t>Conclusie</w:t>
            </w:r>
            <w:r>
              <w:rPr>
                <w:noProof/>
                <w:webHidden/>
              </w:rPr>
              <w:tab/>
            </w:r>
            <w:r>
              <w:rPr>
                <w:noProof/>
                <w:webHidden/>
              </w:rPr>
              <w:fldChar w:fldCharType="begin"/>
            </w:r>
            <w:r>
              <w:rPr>
                <w:noProof/>
                <w:webHidden/>
              </w:rPr>
              <w:instrText xml:space="preserve"> PAGEREF _Toc213749940 \h </w:instrText>
            </w:r>
            <w:r>
              <w:rPr>
                <w:noProof/>
                <w:webHidden/>
              </w:rPr>
            </w:r>
            <w:r>
              <w:rPr>
                <w:noProof/>
                <w:webHidden/>
              </w:rPr>
              <w:fldChar w:fldCharType="separate"/>
            </w:r>
            <w:r>
              <w:rPr>
                <w:noProof/>
                <w:webHidden/>
              </w:rPr>
              <w:t>5</w:t>
            </w:r>
            <w:r>
              <w:rPr>
                <w:noProof/>
                <w:webHidden/>
              </w:rPr>
              <w:fldChar w:fldCharType="end"/>
            </w:r>
          </w:hyperlink>
        </w:p>
        <w:p w14:paraId="5A988892" w14:textId="77777777" w:rsidR="00161DE2" w:rsidRDefault="00161DE2" w:rsidP="00161DE2">
          <w:pPr>
            <w:pStyle w:val="Inhopg2"/>
            <w:tabs>
              <w:tab w:val="right" w:leader="dot" w:pos="9062"/>
            </w:tabs>
            <w:rPr>
              <w:rFonts w:eastAsiaTheme="minorEastAsia"/>
              <w:smallCaps w:val="0"/>
              <w:noProof/>
              <w:sz w:val="24"/>
              <w:szCs w:val="24"/>
              <w:lang w:eastAsia="nl-NL"/>
            </w:rPr>
          </w:pPr>
          <w:hyperlink w:anchor="_Toc213749941" w:history="1">
            <w:r w:rsidRPr="00F734E4">
              <w:rPr>
                <w:rStyle w:val="Hyperlink"/>
                <w:noProof/>
              </w:rPr>
              <w:t>Beslissingsmatrix Robeco</w:t>
            </w:r>
            <w:r>
              <w:rPr>
                <w:noProof/>
                <w:webHidden/>
              </w:rPr>
              <w:tab/>
            </w:r>
            <w:r>
              <w:rPr>
                <w:noProof/>
                <w:webHidden/>
              </w:rPr>
              <w:fldChar w:fldCharType="begin"/>
            </w:r>
            <w:r>
              <w:rPr>
                <w:noProof/>
                <w:webHidden/>
              </w:rPr>
              <w:instrText xml:space="preserve"> PAGEREF _Toc213749941 \h </w:instrText>
            </w:r>
            <w:r>
              <w:rPr>
                <w:noProof/>
                <w:webHidden/>
              </w:rPr>
            </w:r>
            <w:r>
              <w:rPr>
                <w:noProof/>
                <w:webHidden/>
              </w:rPr>
              <w:fldChar w:fldCharType="separate"/>
            </w:r>
            <w:r>
              <w:rPr>
                <w:noProof/>
                <w:webHidden/>
              </w:rPr>
              <w:t>5</w:t>
            </w:r>
            <w:r>
              <w:rPr>
                <w:noProof/>
                <w:webHidden/>
              </w:rPr>
              <w:fldChar w:fldCharType="end"/>
            </w:r>
          </w:hyperlink>
        </w:p>
        <w:p w14:paraId="28BC2235" w14:textId="77777777" w:rsidR="00161DE2" w:rsidRDefault="00161DE2" w:rsidP="00161DE2">
          <w:pPr>
            <w:pStyle w:val="Inhopg2"/>
            <w:tabs>
              <w:tab w:val="right" w:leader="dot" w:pos="9062"/>
            </w:tabs>
            <w:rPr>
              <w:rFonts w:eastAsiaTheme="minorEastAsia"/>
              <w:smallCaps w:val="0"/>
              <w:noProof/>
              <w:sz w:val="24"/>
              <w:szCs w:val="24"/>
              <w:lang w:eastAsia="nl-NL"/>
            </w:rPr>
          </w:pPr>
          <w:hyperlink w:anchor="_Toc213749942" w:history="1">
            <w:r w:rsidRPr="00F734E4">
              <w:rPr>
                <w:rStyle w:val="Hyperlink"/>
                <w:noProof/>
              </w:rPr>
              <w:t>Toelichting per criterium</w:t>
            </w:r>
            <w:r>
              <w:rPr>
                <w:noProof/>
                <w:webHidden/>
              </w:rPr>
              <w:tab/>
            </w:r>
            <w:r>
              <w:rPr>
                <w:noProof/>
                <w:webHidden/>
              </w:rPr>
              <w:fldChar w:fldCharType="begin"/>
            </w:r>
            <w:r>
              <w:rPr>
                <w:noProof/>
                <w:webHidden/>
              </w:rPr>
              <w:instrText xml:space="preserve"> PAGEREF _Toc213749942 \h </w:instrText>
            </w:r>
            <w:r>
              <w:rPr>
                <w:noProof/>
                <w:webHidden/>
              </w:rPr>
            </w:r>
            <w:r>
              <w:rPr>
                <w:noProof/>
                <w:webHidden/>
              </w:rPr>
              <w:fldChar w:fldCharType="separate"/>
            </w:r>
            <w:r>
              <w:rPr>
                <w:noProof/>
                <w:webHidden/>
              </w:rPr>
              <w:t>5</w:t>
            </w:r>
            <w:r>
              <w:rPr>
                <w:noProof/>
                <w:webHidden/>
              </w:rPr>
              <w:fldChar w:fldCharType="end"/>
            </w:r>
          </w:hyperlink>
        </w:p>
        <w:p w14:paraId="54790493" w14:textId="77777777" w:rsidR="00161DE2" w:rsidRDefault="00161DE2" w:rsidP="00161DE2">
          <w:pPr>
            <w:pStyle w:val="Inhopg1"/>
            <w:tabs>
              <w:tab w:val="right" w:leader="dot" w:pos="9062"/>
            </w:tabs>
            <w:rPr>
              <w:rFonts w:eastAsiaTheme="minorEastAsia"/>
              <w:b w:val="0"/>
              <w:bCs w:val="0"/>
              <w:caps w:val="0"/>
              <w:noProof/>
              <w:sz w:val="24"/>
              <w:szCs w:val="24"/>
              <w:lang w:eastAsia="nl-NL"/>
            </w:rPr>
          </w:pPr>
          <w:hyperlink w:anchor="_Toc213749943" w:history="1">
            <w:r w:rsidRPr="00F734E4">
              <w:rPr>
                <w:rStyle w:val="Hyperlink"/>
                <w:noProof/>
              </w:rPr>
              <w:t>BNP Paribas Asset Management</w:t>
            </w:r>
            <w:r>
              <w:rPr>
                <w:noProof/>
                <w:webHidden/>
              </w:rPr>
              <w:tab/>
            </w:r>
            <w:r>
              <w:rPr>
                <w:noProof/>
                <w:webHidden/>
              </w:rPr>
              <w:fldChar w:fldCharType="begin"/>
            </w:r>
            <w:r>
              <w:rPr>
                <w:noProof/>
                <w:webHidden/>
              </w:rPr>
              <w:instrText xml:space="preserve"> PAGEREF _Toc213749943 \h </w:instrText>
            </w:r>
            <w:r>
              <w:rPr>
                <w:noProof/>
                <w:webHidden/>
              </w:rPr>
            </w:r>
            <w:r>
              <w:rPr>
                <w:noProof/>
                <w:webHidden/>
              </w:rPr>
              <w:fldChar w:fldCharType="separate"/>
            </w:r>
            <w:r>
              <w:rPr>
                <w:noProof/>
                <w:webHidden/>
              </w:rPr>
              <w:t>6</w:t>
            </w:r>
            <w:r>
              <w:rPr>
                <w:noProof/>
                <w:webHidden/>
              </w:rPr>
              <w:fldChar w:fldCharType="end"/>
            </w:r>
          </w:hyperlink>
        </w:p>
        <w:p w14:paraId="41B15385" w14:textId="77777777" w:rsidR="00161DE2" w:rsidRDefault="00161DE2" w:rsidP="00161DE2">
          <w:pPr>
            <w:pStyle w:val="Inhopg2"/>
            <w:tabs>
              <w:tab w:val="right" w:leader="dot" w:pos="9062"/>
            </w:tabs>
            <w:rPr>
              <w:rFonts w:eastAsiaTheme="minorEastAsia"/>
              <w:smallCaps w:val="0"/>
              <w:noProof/>
              <w:sz w:val="24"/>
              <w:szCs w:val="24"/>
              <w:lang w:eastAsia="nl-NL"/>
            </w:rPr>
          </w:pPr>
          <w:hyperlink w:anchor="_Toc213749944" w:history="1">
            <w:r w:rsidRPr="00F734E4">
              <w:rPr>
                <w:rStyle w:val="Hyperlink"/>
                <w:noProof/>
              </w:rPr>
              <w:t>1. Duurzaamheidsbeleid</w:t>
            </w:r>
            <w:r>
              <w:rPr>
                <w:noProof/>
                <w:webHidden/>
              </w:rPr>
              <w:tab/>
            </w:r>
            <w:r>
              <w:rPr>
                <w:noProof/>
                <w:webHidden/>
              </w:rPr>
              <w:fldChar w:fldCharType="begin"/>
            </w:r>
            <w:r>
              <w:rPr>
                <w:noProof/>
                <w:webHidden/>
              </w:rPr>
              <w:instrText xml:space="preserve"> PAGEREF _Toc213749944 \h </w:instrText>
            </w:r>
            <w:r>
              <w:rPr>
                <w:noProof/>
                <w:webHidden/>
              </w:rPr>
            </w:r>
            <w:r>
              <w:rPr>
                <w:noProof/>
                <w:webHidden/>
              </w:rPr>
              <w:fldChar w:fldCharType="separate"/>
            </w:r>
            <w:r>
              <w:rPr>
                <w:noProof/>
                <w:webHidden/>
              </w:rPr>
              <w:t>6</w:t>
            </w:r>
            <w:r>
              <w:rPr>
                <w:noProof/>
                <w:webHidden/>
              </w:rPr>
              <w:fldChar w:fldCharType="end"/>
            </w:r>
          </w:hyperlink>
        </w:p>
        <w:p w14:paraId="4ADDE02B" w14:textId="77777777" w:rsidR="00161DE2" w:rsidRDefault="00161DE2" w:rsidP="00161DE2">
          <w:pPr>
            <w:pStyle w:val="Inhopg2"/>
            <w:tabs>
              <w:tab w:val="right" w:leader="dot" w:pos="9062"/>
            </w:tabs>
            <w:rPr>
              <w:rFonts w:eastAsiaTheme="minorEastAsia"/>
              <w:smallCaps w:val="0"/>
              <w:noProof/>
              <w:sz w:val="24"/>
              <w:szCs w:val="24"/>
              <w:lang w:eastAsia="nl-NL"/>
            </w:rPr>
          </w:pPr>
          <w:hyperlink w:anchor="_Toc213749945" w:history="1">
            <w:r w:rsidRPr="00F734E4">
              <w:rPr>
                <w:rStyle w:val="Hyperlink"/>
                <w:noProof/>
              </w:rPr>
              <w:t>2. Governance</w:t>
            </w:r>
            <w:r>
              <w:rPr>
                <w:noProof/>
                <w:webHidden/>
              </w:rPr>
              <w:tab/>
            </w:r>
            <w:r>
              <w:rPr>
                <w:noProof/>
                <w:webHidden/>
              </w:rPr>
              <w:fldChar w:fldCharType="begin"/>
            </w:r>
            <w:r>
              <w:rPr>
                <w:noProof/>
                <w:webHidden/>
              </w:rPr>
              <w:instrText xml:space="preserve"> PAGEREF _Toc213749945 \h </w:instrText>
            </w:r>
            <w:r>
              <w:rPr>
                <w:noProof/>
                <w:webHidden/>
              </w:rPr>
            </w:r>
            <w:r>
              <w:rPr>
                <w:noProof/>
                <w:webHidden/>
              </w:rPr>
              <w:fldChar w:fldCharType="separate"/>
            </w:r>
            <w:r>
              <w:rPr>
                <w:noProof/>
                <w:webHidden/>
              </w:rPr>
              <w:t>7</w:t>
            </w:r>
            <w:r>
              <w:rPr>
                <w:noProof/>
                <w:webHidden/>
              </w:rPr>
              <w:fldChar w:fldCharType="end"/>
            </w:r>
          </w:hyperlink>
        </w:p>
        <w:p w14:paraId="3CEDBD12" w14:textId="77777777" w:rsidR="00161DE2" w:rsidRDefault="00161DE2" w:rsidP="00161DE2">
          <w:pPr>
            <w:pStyle w:val="Inhopg2"/>
            <w:tabs>
              <w:tab w:val="right" w:leader="dot" w:pos="9062"/>
            </w:tabs>
            <w:rPr>
              <w:rFonts w:eastAsiaTheme="minorEastAsia"/>
              <w:smallCaps w:val="0"/>
              <w:noProof/>
              <w:sz w:val="24"/>
              <w:szCs w:val="24"/>
              <w:lang w:eastAsia="nl-NL"/>
            </w:rPr>
          </w:pPr>
          <w:hyperlink w:anchor="_Toc213749946" w:history="1">
            <w:r w:rsidRPr="00F734E4">
              <w:rPr>
                <w:rStyle w:val="Hyperlink"/>
                <w:noProof/>
              </w:rPr>
              <w:t>3. Bad Press</w:t>
            </w:r>
            <w:r>
              <w:rPr>
                <w:noProof/>
                <w:webHidden/>
              </w:rPr>
              <w:tab/>
            </w:r>
            <w:r>
              <w:rPr>
                <w:noProof/>
                <w:webHidden/>
              </w:rPr>
              <w:fldChar w:fldCharType="begin"/>
            </w:r>
            <w:r>
              <w:rPr>
                <w:noProof/>
                <w:webHidden/>
              </w:rPr>
              <w:instrText xml:space="preserve"> PAGEREF _Toc213749946 \h </w:instrText>
            </w:r>
            <w:r>
              <w:rPr>
                <w:noProof/>
                <w:webHidden/>
              </w:rPr>
            </w:r>
            <w:r>
              <w:rPr>
                <w:noProof/>
                <w:webHidden/>
              </w:rPr>
              <w:fldChar w:fldCharType="separate"/>
            </w:r>
            <w:r>
              <w:rPr>
                <w:noProof/>
                <w:webHidden/>
              </w:rPr>
              <w:t>7</w:t>
            </w:r>
            <w:r>
              <w:rPr>
                <w:noProof/>
                <w:webHidden/>
              </w:rPr>
              <w:fldChar w:fldCharType="end"/>
            </w:r>
          </w:hyperlink>
        </w:p>
        <w:p w14:paraId="077B2127" w14:textId="77777777" w:rsidR="00161DE2" w:rsidRDefault="00161DE2" w:rsidP="00161DE2">
          <w:pPr>
            <w:pStyle w:val="Inhopg2"/>
            <w:tabs>
              <w:tab w:val="right" w:leader="dot" w:pos="9062"/>
            </w:tabs>
            <w:rPr>
              <w:rFonts w:eastAsiaTheme="minorEastAsia"/>
              <w:smallCaps w:val="0"/>
              <w:noProof/>
              <w:sz w:val="24"/>
              <w:szCs w:val="24"/>
              <w:lang w:eastAsia="nl-NL"/>
            </w:rPr>
          </w:pPr>
          <w:hyperlink w:anchor="_Toc213749947" w:history="1">
            <w:r w:rsidRPr="00F734E4">
              <w:rPr>
                <w:rStyle w:val="Hyperlink"/>
                <w:noProof/>
              </w:rPr>
              <w:t>Conclusie</w:t>
            </w:r>
            <w:r>
              <w:rPr>
                <w:noProof/>
                <w:webHidden/>
              </w:rPr>
              <w:tab/>
            </w:r>
            <w:r>
              <w:rPr>
                <w:noProof/>
                <w:webHidden/>
              </w:rPr>
              <w:fldChar w:fldCharType="begin"/>
            </w:r>
            <w:r>
              <w:rPr>
                <w:noProof/>
                <w:webHidden/>
              </w:rPr>
              <w:instrText xml:space="preserve"> PAGEREF _Toc213749947 \h </w:instrText>
            </w:r>
            <w:r>
              <w:rPr>
                <w:noProof/>
                <w:webHidden/>
              </w:rPr>
            </w:r>
            <w:r>
              <w:rPr>
                <w:noProof/>
                <w:webHidden/>
              </w:rPr>
              <w:fldChar w:fldCharType="separate"/>
            </w:r>
            <w:r>
              <w:rPr>
                <w:noProof/>
                <w:webHidden/>
              </w:rPr>
              <w:t>7</w:t>
            </w:r>
            <w:r>
              <w:rPr>
                <w:noProof/>
                <w:webHidden/>
              </w:rPr>
              <w:fldChar w:fldCharType="end"/>
            </w:r>
          </w:hyperlink>
        </w:p>
        <w:p w14:paraId="19B37ED5" w14:textId="77777777" w:rsidR="00161DE2" w:rsidRDefault="00161DE2" w:rsidP="00161DE2">
          <w:pPr>
            <w:pStyle w:val="Inhopg2"/>
            <w:tabs>
              <w:tab w:val="right" w:leader="dot" w:pos="9062"/>
            </w:tabs>
            <w:rPr>
              <w:rFonts w:eastAsiaTheme="minorEastAsia"/>
              <w:smallCaps w:val="0"/>
              <w:noProof/>
              <w:sz w:val="24"/>
              <w:szCs w:val="24"/>
              <w:lang w:eastAsia="nl-NL"/>
            </w:rPr>
          </w:pPr>
          <w:hyperlink w:anchor="_Toc213749948" w:history="1">
            <w:r w:rsidRPr="00F734E4">
              <w:rPr>
                <w:rStyle w:val="Hyperlink"/>
                <w:noProof/>
              </w:rPr>
              <w:t>Beslissingsmatrix BNP Paribas Asset Management</w:t>
            </w:r>
            <w:r>
              <w:rPr>
                <w:noProof/>
                <w:webHidden/>
              </w:rPr>
              <w:tab/>
            </w:r>
            <w:r>
              <w:rPr>
                <w:noProof/>
                <w:webHidden/>
              </w:rPr>
              <w:fldChar w:fldCharType="begin"/>
            </w:r>
            <w:r>
              <w:rPr>
                <w:noProof/>
                <w:webHidden/>
              </w:rPr>
              <w:instrText xml:space="preserve"> PAGEREF _Toc213749948 \h </w:instrText>
            </w:r>
            <w:r>
              <w:rPr>
                <w:noProof/>
                <w:webHidden/>
              </w:rPr>
            </w:r>
            <w:r>
              <w:rPr>
                <w:noProof/>
                <w:webHidden/>
              </w:rPr>
              <w:fldChar w:fldCharType="separate"/>
            </w:r>
            <w:r>
              <w:rPr>
                <w:noProof/>
                <w:webHidden/>
              </w:rPr>
              <w:t>8</w:t>
            </w:r>
            <w:r>
              <w:rPr>
                <w:noProof/>
                <w:webHidden/>
              </w:rPr>
              <w:fldChar w:fldCharType="end"/>
            </w:r>
          </w:hyperlink>
        </w:p>
        <w:p w14:paraId="1615648F" w14:textId="77777777" w:rsidR="00161DE2" w:rsidRDefault="00161DE2" w:rsidP="00161DE2">
          <w:pPr>
            <w:pStyle w:val="Inhopg2"/>
            <w:tabs>
              <w:tab w:val="right" w:leader="dot" w:pos="9062"/>
            </w:tabs>
            <w:rPr>
              <w:rFonts w:eastAsiaTheme="minorEastAsia"/>
              <w:smallCaps w:val="0"/>
              <w:noProof/>
              <w:sz w:val="24"/>
              <w:szCs w:val="24"/>
              <w:lang w:eastAsia="nl-NL"/>
            </w:rPr>
          </w:pPr>
          <w:hyperlink w:anchor="_Toc213749949" w:history="1">
            <w:r w:rsidRPr="00F734E4">
              <w:rPr>
                <w:rStyle w:val="Hyperlink"/>
                <w:noProof/>
              </w:rPr>
              <w:t>Toelichting per criterium</w:t>
            </w:r>
            <w:r>
              <w:rPr>
                <w:noProof/>
                <w:webHidden/>
              </w:rPr>
              <w:tab/>
            </w:r>
            <w:r>
              <w:rPr>
                <w:noProof/>
                <w:webHidden/>
              </w:rPr>
              <w:fldChar w:fldCharType="begin"/>
            </w:r>
            <w:r>
              <w:rPr>
                <w:noProof/>
                <w:webHidden/>
              </w:rPr>
              <w:instrText xml:space="preserve"> PAGEREF _Toc213749949 \h </w:instrText>
            </w:r>
            <w:r>
              <w:rPr>
                <w:noProof/>
                <w:webHidden/>
              </w:rPr>
            </w:r>
            <w:r>
              <w:rPr>
                <w:noProof/>
                <w:webHidden/>
              </w:rPr>
              <w:fldChar w:fldCharType="separate"/>
            </w:r>
            <w:r>
              <w:rPr>
                <w:noProof/>
                <w:webHidden/>
              </w:rPr>
              <w:t>8</w:t>
            </w:r>
            <w:r>
              <w:rPr>
                <w:noProof/>
                <w:webHidden/>
              </w:rPr>
              <w:fldChar w:fldCharType="end"/>
            </w:r>
          </w:hyperlink>
        </w:p>
        <w:p w14:paraId="4DBF77BF" w14:textId="77777777" w:rsidR="00161DE2" w:rsidRDefault="00161DE2" w:rsidP="00161DE2">
          <w:pPr>
            <w:pStyle w:val="Inhopg1"/>
            <w:tabs>
              <w:tab w:val="right" w:leader="dot" w:pos="9062"/>
            </w:tabs>
            <w:rPr>
              <w:rFonts w:eastAsiaTheme="minorEastAsia"/>
              <w:b w:val="0"/>
              <w:bCs w:val="0"/>
              <w:caps w:val="0"/>
              <w:noProof/>
              <w:sz w:val="24"/>
              <w:szCs w:val="24"/>
              <w:lang w:eastAsia="nl-NL"/>
            </w:rPr>
          </w:pPr>
          <w:hyperlink w:anchor="_Toc213749950" w:history="1">
            <w:r w:rsidRPr="00F734E4">
              <w:rPr>
                <w:rStyle w:val="Hyperlink"/>
                <w:noProof/>
              </w:rPr>
              <w:t>UBS Asset Management</w:t>
            </w:r>
            <w:r>
              <w:rPr>
                <w:noProof/>
                <w:webHidden/>
              </w:rPr>
              <w:tab/>
            </w:r>
            <w:r>
              <w:rPr>
                <w:noProof/>
                <w:webHidden/>
              </w:rPr>
              <w:fldChar w:fldCharType="begin"/>
            </w:r>
            <w:r>
              <w:rPr>
                <w:noProof/>
                <w:webHidden/>
              </w:rPr>
              <w:instrText xml:space="preserve"> PAGEREF _Toc213749950 \h </w:instrText>
            </w:r>
            <w:r>
              <w:rPr>
                <w:noProof/>
                <w:webHidden/>
              </w:rPr>
            </w:r>
            <w:r>
              <w:rPr>
                <w:noProof/>
                <w:webHidden/>
              </w:rPr>
              <w:fldChar w:fldCharType="separate"/>
            </w:r>
            <w:r>
              <w:rPr>
                <w:noProof/>
                <w:webHidden/>
              </w:rPr>
              <w:t>8</w:t>
            </w:r>
            <w:r>
              <w:rPr>
                <w:noProof/>
                <w:webHidden/>
              </w:rPr>
              <w:fldChar w:fldCharType="end"/>
            </w:r>
          </w:hyperlink>
        </w:p>
        <w:p w14:paraId="4561C443" w14:textId="77777777" w:rsidR="00161DE2" w:rsidRDefault="00161DE2" w:rsidP="00161DE2">
          <w:pPr>
            <w:pStyle w:val="Inhopg2"/>
            <w:tabs>
              <w:tab w:val="right" w:leader="dot" w:pos="9062"/>
            </w:tabs>
            <w:rPr>
              <w:rFonts w:eastAsiaTheme="minorEastAsia"/>
              <w:smallCaps w:val="0"/>
              <w:noProof/>
              <w:sz w:val="24"/>
              <w:szCs w:val="24"/>
              <w:lang w:eastAsia="nl-NL"/>
            </w:rPr>
          </w:pPr>
          <w:hyperlink w:anchor="_Toc213749951" w:history="1">
            <w:r w:rsidRPr="00F734E4">
              <w:rPr>
                <w:rStyle w:val="Hyperlink"/>
                <w:noProof/>
              </w:rPr>
              <w:t>1. Duurzaamheidsbeleid</w:t>
            </w:r>
            <w:r>
              <w:rPr>
                <w:noProof/>
                <w:webHidden/>
              </w:rPr>
              <w:tab/>
            </w:r>
            <w:r>
              <w:rPr>
                <w:noProof/>
                <w:webHidden/>
              </w:rPr>
              <w:fldChar w:fldCharType="begin"/>
            </w:r>
            <w:r>
              <w:rPr>
                <w:noProof/>
                <w:webHidden/>
              </w:rPr>
              <w:instrText xml:space="preserve"> PAGEREF _Toc213749951 \h </w:instrText>
            </w:r>
            <w:r>
              <w:rPr>
                <w:noProof/>
                <w:webHidden/>
              </w:rPr>
            </w:r>
            <w:r>
              <w:rPr>
                <w:noProof/>
                <w:webHidden/>
              </w:rPr>
              <w:fldChar w:fldCharType="separate"/>
            </w:r>
            <w:r>
              <w:rPr>
                <w:noProof/>
                <w:webHidden/>
              </w:rPr>
              <w:t>8</w:t>
            </w:r>
            <w:r>
              <w:rPr>
                <w:noProof/>
                <w:webHidden/>
              </w:rPr>
              <w:fldChar w:fldCharType="end"/>
            </w:r>
          </w:hyperlink>
        </w:p>
        <w:p w14:paraId="52B30B11" w14:textId="77777777" w:rsidR="00161DE2" w:rsidRDefault="00161DE2" w:rsidP="00161DE2">
          <w:pPr>
            <w:pStyle w:val="Inhopg2"/>
            <w:tabs>
              <w:tab w:val="right" w:leader="dot" w:pos="9062"/>
            </w:tabs>
            <w:rPr>
              <w:rFonts w:eastAsiaTheme="minorEastAsia"/>
              <w:smallCaps w:val="0"/>
              <w:noProof/>
              <w:sz w:val="24"/>
              <w:szCs w:val="24"/>
              <w:lang w:eastAsia="nl-NL"/>
            </w:rPr>
          </w:pPr>
          <w:hyperlink w:anchor="_Toc213749952" w:history="1">
            <w:r w:rsidRPr="00F734E4">
              <w:rPr>
                <w:rStyle w:val="Hyperlink"/>
                <w:noProof/>
              </w:rPr>
              <w:t>2. Governance</w:t>
            </w:r>
            <w:r>
              <w:rPr>
                <w:noProof/>
                <w:webHidden/>
              </w:rPr>
              <w:tab/>
            </w:r>
            <w:r>
              <w:rPr>
                <w:noProof/>
                <w:webHidden/>
              </w:rPr>
              <w:fldChar w:fldCharType="begin"/>
            </w:r>
            <w:r>
              <w:rPr>
                <w:noProof/>
                <w:webHidden/>
              </w:rPr>
              <w:instrText xml:space="preserve"> PAGEREF _Toc213749952 \h </w:instrText>
            </w:r>
            <w:r>
              <w:rPr>
                <w:noProof/>
                <w:webHidden/>
              </w:rPr>
            </w:r>
            <w:r>
              <w:rPr>
                <w:noProof/>
                <w:webHidden/>
              </w:rPr>
              <w:fldChar w:fldCharType="separate"/>
            </w:r>
            <w:r>
              <w:rPr>
                <w:noProof/>
                <w:webHidden/>
              </w:rPr>
              <w:t>9</w:t>
            </w:r>
            <w:r>
              <w:rPr>
                <w:noProof/>
                <w:webHidden/>
              </w:rPr>
              <w:fldChar w:fldCharType="end"/>
            </w:r>
          </w:hyperlink>
        </w:p>
        <w:p w14:paraId="39BC6504" w14:textId="77777777" w:rsidR="00161DE2" w:rsidRDefault="00161DE2" w:rsidP="00161DE2">
          <w:pPr>
            <w:pStyle w:val="Inhopg2"/>
            <w:tabs>
              <w:tab w:val="right" w:leader="dot" w:pos="9062"/>
            </w:tabs>
            <w:rPr>
              <w:rFonts w:eastAsiaTheme="minorEastAsia"/>
              <w:smallCaps w:val="0"/>
              <w:noProof/>
              <w:sz w:val="24"/>
              <w:szCs w:val="24"/>
              <w:lang w:eastAsia="nl-NL"/>
            </w:rPr>
          </w:pPr>
          <w:hyperlink w:anchor="_Toc213749953" w:history="1">
            <w:r w:rsidRPr="00F734E4">
              <w:rPr>
                <w:rStyle w:val="Hyperlink"/>
                <w:noProof/>
              </w:rPr>
              <w:t>3. Bad press</w:t>
            </w:r>
            <w:r>
              <w:rPr>
                <w:noProof/>
                <w:webHidden/>
              </w:rPr>
              <w:tab/>
            </w:r>
            <w:r>
              <w:rPr>
                <w:noProof/>
                <w:webHidden/>
              </w:rPr>
              <w:fldChar w:fldCharType="begin"/>
            </w:r>
            <w:r>
              <w:rPr>
                <w:noProof/>
                <w:webHidden/>
              </w:rPr>
              <w:instrText xml:space="preserve"> PAGEREF _Toc213749953 \h </w:instrText>
            </w:r>
            <w:r>
              <w:rPr>
                <w:noProof/>
                <w:webHidden/>
              </w:rPr>
            </w:r>
            <w:r>
              <w:rPr>
                <w:noProof/>
                <w:webHidden/>
              </w:rPr>
              <w:fldChar w:fldCharType="separate"/>
            </w:r>
            <w:r>
              <w:rPr>
                <w:noProof/>
                <w:webHidden/>
              </w:rPr>
              <w:t>9</w:t>
            </w:r>
            <w:r>
              <w:rPr>
                <w:noProof/>
                <w:webHidden/>
              </w:rPr>
              <w:fldChar w:fldCharType="end"/>
            </w:r>
          </w:hyperlink>
        </w:p>
        <w:p w14:paraId="0B7C1C21" w14:textId="77777777" w:rsidR="00161DE2" w:rsidRDefault="00161DE2" w:rsidP="00161DE2">
          <w:pPr>
            <w:pStyle w:val="Inhopg2"/>
            <w:tabs>
              <w:tab w:val="right" w:leader="dot" w:pos="9062"/>
            </w:tabs>
            <w:rPr>
              <w:rFonts w:eastAsiaTheme="minorEastAsia"/>
              <w:smallCaps w:val="0"/>
              <w:noProof/>
              <w:sz w:val="24"/>
              <w:szCs w:val="24"/>
              <w:lang w:eastAsia="nl-NL"/>
            </w:rPr>
          </w:pPr>
          <w:hyperlink w:anchor="_Toc213749954" w:history="1">
            <w:r w:rsidRPr="00F734E4">
              <w:rPr>
                <w:rStyle w:val="Hyperlink"/>
                <w:noProof/>
              </w:rPr>
              <w:t>Conclusie</w:t>
            </w:r>
            <w:r>
              <w:rPr>
                <w:noProof/>
                <w:webHidden/>
              </w:rPr>
              <w:tab/>
            </w:r>
            <w:r>
              <w:rPr>
                <w:noProof/>
                <w:webHidden/>
              </w:rPr>
              <w:fldChar w:fldCharType="begin"/>
            </w:r>
            <w:r>
              <w:rPr>
                <w:noProof/>
                <w:webHidden/>
              </w:rPr>
              <w:instrText xml:space="preserve"> PAGEREF _Toc213749954 \h </w:instrText>
            </w:r>
            <w:r>
              <w:rPr>
                <w:noProof/>
                <w:webHidden/>
              </w:rPr>
            </w:r>
            <w:r>
              <w:rPr>
                <w:noProof/>
                <w:webHidden/>
              </w:rPr>
              <w:fldChar w:fldCharType="separate"/>
            </w:r>
            <w:r>
              <w:rPr>
                <w:noProof/>
                <w:webHidden/>
              </w:rPr>
              <w:t>10</w:t>
            </w:r>
            <w:r>
              <w:rPr>
                <w:noProof/>
                <w:webHidden/>
              </w:rPr>
              <w:fldChar w:fldCharType="end"/>
            </w:r>
          </w:hyperlink>
        </w:p>
        <w:p w14:paraId="334FD104" w14:textId="77777777" w:rsidR="00161DE2" w:rsidRDefault="00161DE2" w:rsidP="00161DE2">
          <w:pPr>
            <w:pStyle w:val="Inhopg2"/>
            <w:tabs>
              <w:tab w:val="right" w:leader="dot" w:pos="9062"/>
            </w:tabs>
            <w:rPr>
              <w:rFonts w:eastAsiaTheme="minorEastAsia"/>
              <w:smallCaps w:val="0"/>
              <w:noProof/>
              <w:sz w:val="24"/>
              <w:szCs w:val="24"/>
              <w:lang w:eastAsia="nl-NL"/>
            </w:rPr>
          </w:pPr>
          <w:hyperlink w:anchor="_Toc213749955" w:history="1">
            <w:r w:rsidRPr="00F734E4">
              <w:rPr>
                <w:rStyle w:val="Hyperlink"/>
                <w:noProof/>
              </w:rPr>
              <w:t>Beslissingsmatrix UBS Asset Management</w:t>
            </w:r>
            <w:r>
              <w:rPr>
                <w:noProof/>
                <w:webHidden/>
              </w:rPr>
              <w:tab/>
            </w:r>
            <w:r>
              <w:rPr>
                <w:noProof/>
                <w:webHidden/>
              </w:rPr>
              <w:fldChar w:fldCharType="begin"/>
            </w:r>
            <w:r>
              <w:rPr>
                <w:noProof/>
                <w:webHidden/>
              </w:rPr>
              <w:instrText xml:space="preserve"> PAGEREF _Toc213749955 \h </w:instrText>
            </w:r>
            <w:r>
              <w:rPr>
                <w:noProof/>
                <w:webHidden/>
              </w:rPr>
            </w:r>
            <w:r>
              <w:rPr>
                <w:noProof/>
                <w:webHidden/>
              </w:rPr>
              <w:fldChar w:fldCharType="separate"/>
            </w:r>
            <w:r>
              <w:rPr>
                <w:noProof/>
                <w:webHidden/>
              </w:rPr>
              <w:t>10</w:t>
            </w:r>
            <w:r>
              <w:rPr>
                <w:noProof/>
                <w:webHidden/>
              </w:rPr>
              <w:fldChar w:fldCharType="end"/>
            </w:r>
          </w:hyperlink>
        </w:p>
        <w:p w14:paraId="181254AE" w14:textId="77777777" w:rsidR="00161DE2" w:rsidRDefault="00161DE2" w:rsidP="00161DE2">
          <w:pPr>
            <w:pStyle w:val="Inhopg2"/>
            <w:tabs>
              <w:tab w:val="right" w:leader="dot" w:pos="9062"/>
            </w:tabs>
            <w:rPr>
              <w:rFonts w:eastAsiaTheme="minorEastAsia"/>
              <w:smallCaps w:val="0"/>
              <w:noProof/>
              <w:sz w:val="24"/>
              <w:szCs w:val="24"/>
              <w:lang w:eastAsia="nl-NL"/>
            </w:rPr>
          </w:pPr>
          <w:hyperlink w:anchor="_Toc213749956" w:history="1">
            <w:r w:rsidRPr="00F734E4">
              <w:rPr>
                <w:rStyle w:val="Hyperlink"/>
                <w:noProof/>
              </w:rPr>
              <w:t>Toelichting per criterium</w:t>
            </w:r>
            <w:r>
              <w:rPr>
                <w:noProof/>
                <w:webHidden/>
              </w:rPr>
              <w:tab/>
            </w:r>
            <w:r>
              <w:rPr>
                <w:noProof/>
                <w:webHidden/>
              </w:rPr>
              <w:fldChar w:fldCharType="begin"/>
            </w:r>
            <w:r>
              <w:rPr>
                <w:noProof/>
                <w:webHidden/>
              </w:rPr>
              <w:instrText xml:space="preserve"> PAGEREF _Toc213749956 \h </w:instrText>
            </w:r>
            <w:r>
              <w:rPr>
                <w:noProof/>
                <w:webHidden/>
              </w:rPr>
            </w:r>
            <w:r>
              <w:rPr>
                <w:noProof/>
                <w:webHidden/>
              </w:rPr>
              <w:fldChar w:fldCharType="separate"/>
            </w:r>
            <w:r>
              <w:rPr>
                <w:noProof/>
                <w:webHidden/>
              </w:rPr>
              <w:t>10</w:t>
            </w:r>
            <w:r>
              <w:rPr>
                <w:noProof/>
                <w:webHidden/>
              </w:rPr>
              <w:fldChar w:fldCharType="end"/>
            </w:r>
          </w:hyperlink>
        </w:p>
        <w:p w14:paraId="124762F7" w14:textId="77777777" w:rsidR="00161DE2" w:rsidRDefault="00161DE2" w:rsidP="00161DE2">
          <w:pPr>
            <w:pStyle w:val="Inhopg1"/>
            <w:tabs>
              <w:tab w:val="right" w:leader="dot" w:pos="9062"/>
            </w:tabs>
            <w:rPr>
              <w:rFonts w:eastAsiaTheme="minorEastAsia"/>
              <w:b w:val="0"/>
              <w:bCs w:val="0"/>
              <w:caps w:val="0"/>
              <w:noProof/>
              <w:sz w:val="24"/>
              <w:szCs w:val="24"/>
              <w:lang w:eastAsia="nl-NL"/>
            </w:rPr>
          </w:pPr>
          <w:hyperlink w:anchor="_Toc213749957" w:history="1">
            <w:r w:rsidRPr="00F734E4">
              <w:rPr>
                <w:rStyle w:val="Hyperlink"/>
                <w:noProof/>
              </w:rPr>
              <w:t>Candriam</w:t>
            </w:r>
            <w:r>
              <w:rPr>
                <w:noProof/>
                <w:webHidden/>
              </w:rPr>
              <w:tab/>
            </w:r>
            <w:r>
              <w:rPr>
                <w:noProof/>
                <w:webHidden/>
              </w:rPr>
              <w:fldChar w:fldCharType="begin"/>
            </w:r>
            <w:r>
              <w:rPr>
                <w:noProof/>
                <w:webHidden/>
              </w:rPr>
              <w:instrText xml:space="preserve"> PAGEREF _Toc213749957 \h </w:instrText>
            </w:r>
            <w:r>
              <w:rPr>
                <w:noProof/>
                <w:webHidden/>
              </w:rPr>
            </w:r>
            <w:r>
              <w:rPr>
                <w:noProof/>
                <w:webHidden/>
              </w:rPr>
              <w:fldChar w:fldCharType="separate"/>
            </w:r>
            <w:r>
              <w:rPr>
                <w:noProof/>
                <w:webHidden/>
              </w:rPr>
              <w:t>10</w:t>
            </w:r>
            <w:r>
              <w:rPr>
                <w:noProof/>
                <w:webHidden/>
              </w:rPr>
              <w:fldChar w:fldCharType="end"/>
            </w:r>
          </w:hyperlink>
        </w:p>
        <w:p w14:paraId="57AC69B5" w14:textId="77777777" w:rsidR="00161DE2" w:rsidRDefault="00161DE2" w:rsidP="00161DE2">
          <w:pPr>
            <w:pStyle w:val="Inhopg2"/>
            <w:tabs>
              <w:tab w:val="right" w:leader="dot" w:pos="9062"/>
            </w:tabs>
            <w:rPr>
              <w:rFonts w:eastAsiaTheme="minorEastAsia"/>
              <w:smallCaps w:val="0"/>
              <w:noProof/>
              <w:sz w:val="24"/>
              <w:szCs w:val="24"/>
              <w:lang w:eastAsia="nl-NL"/>
            </w:rPr>
          </w:pPr>
          <w:hyperlink w:anchor="_Toc213749958" w:history="1">
            <w:r w:rsidRPr="00F734E4">
              <w:rPr>
                <w:rStyle w:val="Hyperlink"/>
                <w:noProof/>
              </w:rPr>
              <w:t>1. Duurzaamheidsbeleid</w:t>
            </w:r>
            <w:r>
              <w:rPr>
                <w:noProof/>
                <w:webHidden/>
              </w:rPr>
              <w:tab/>
            </w:r>
            <w:r>
              <w:rPr>
                <w:noProof/>
                <w:webHidden/>
              </w:rPr>
              <w:fldChar w:fldCharType="begin"/>
            </w:r>
            <w:r>
              <w:rPr>
                <w:noProof/>
                <w:webHidden/>
              </w:rPr>
              <w:instrText xml:space="preserve"> PAGEREF _Toc213749958 \h </w:instrText>
            </w:r>
            <w:r>
              <w:rPr>
                <w:noProof/>
                <w:webHidden/>
              </w:rPr>
            </w:r>
            <w:r>
              <w:rPr>
                <w:noProof/>
                <w:webHidden/>
              </w:rPr>
              <w:fldChar w:fldCharType="separate"/>
            </w:r>
            <w:r>
              <w:rPr>
                <w:noProof/>
                <w:webHidden/>
              </w:rPr>
              <w:t>10</w:t>
            </w:r>
            <w:r>
              <w:rPr>
                <w:noProof/>
                <w:webHidden/>
              </w:rPr>
              <w:fldChar w:fldCharType="end"/>
            </w:r>
          </w:hyperlink>
        </w:p>
        <w:p w14:paraId="0C6025A4" w14:textId="77777777" w:rsidR="00161DE2" w:rsidRDefault="00161DE2" w:rsidP="00161DE2">
          <w:pPr>
            <w:pStyle w:val="Inhopg2"/>
            <w:tabs>
              <w:tab w:val="right" w:leader="dot" w:pos="9062"/>
            </w:tabs>
            <w:rPr>
              <w:rFonts w:eastAsiaTheme="minorEastAsia"/>
              <w:smallCaps w:val="0"/>
              <w:noProof/>
              <w:sz w:val="24"/>
              <w:szCs w:val="24"/>
              <w:lang w:eastAsia="nl-NL"/>
            </w:rPr>
          </w:pPr>
          <w:hyperlink w:anchor="_Toc213749959" w:history="1">
            <w:r w:rsidRPr="00F734E4">
              <w:rPr>
                <w:rStyle w:val="Hyperlink"/>
                <w:noProof/>
              </w:rPr>
              <w:t>2. Governance</w:t>
            </w:r>
            <w:r>
              <w:rPr>
                <w:noProof/>
                <w:webHidden/>
              </w:rPr>
              <w:tab/>
            </w:r>
            <w:r>
              <w:rPr>
                <w:noProof/>
                <w:webHidden/>
              </w:rPr>
              <w:fldChar w:fldCharType="begin"/>
            </w:r>
            <w:r>
              <w:rPr>
                <w:noProof/>
                <w:webHidden/>
              </w:rPr>
              <w:instrText xml:space="preserve"> PAGEREF _Toc213749959 \h </w:instrText>
            </w:r>
            <w:r>
              <w:rPr>
                <w:noProof/>
                <w:webHidden/>
              </w:rPr>
            </w:r>
            <w:r>
              <w:rPr>
                <w:noProof/>
                <w:webHidden/>
              </w:rPr>
              <w:fldChar w:fldCharType="separate"/>
            </w:r>
            <w:r>
              <w:rPr>
                <w:noProof/>
                <w:webHidden/>
              </w:rPr>
              <w:t>11</w:t>
            </w:r>
            <w:r>
              <w:rPr>
                <w:noProof/>
                <w:webHidden/>
              </w:rPr>
              <w:fldChar w:fldCharType="end"/>
            </w:r>
          </w:hyperlink>
        </w:p>
        <w:p w14:paraId="5F90B2BB" w14:textId="77777777" w:rsidR="00161DE2" w:rsidRDefault="00161DE2" w:rsidP="00161DE2">
          <w:pPr>
            <w:pStyle w:val="Inhopg2"/>
            <w:tabs>
              <w:tab w:val="right" w:leader="dot" w:pos="9062"/>
            </w:tabs>
            <w:rPr>
              <w:rFonts w:eastAsiaTheme="minorEastAsia"/>
              <w:smallCaps w:val="0"/>
              <w:noProof/>
              <w:sz w:val="24"/>
              <w:szCs w:val="24"/>
              <w:lang w:eastAsia="nl-NL"/>
            </w:rPr>
          </w:pPr>
          <w:hyperlink w:anchor="_Toc213749960" w:history="1">
            <w:r w:rsidRPr="00F734E4">
              <w:rPr>
                <w:rStyle w:val="Hyperlink"/>
                <w:noProof/>
              </w:rPr>
              <w:t>3. Bad press</w:t>
            </w:r>
            <w:r>
              <w:rPr>
                <w:noProof/>
                <w:webHidden/>
              </w:rPr>
              <w:tab/>
            </w:r>
            <w:r>
              <w:rPr>
                <w:noProof/>
                <w:webHidden/>
              </w:rPr>
              <w:fldChar w:fldCharType="begin"/>
            </w:r>
            <w:r>
              <w:rPr>
                <w:noProof/>
                <w:webHidden/>
              </w:rPr>
              <w:instrText xml:space="preserve"> PAGEREF _Toc213749960 \h </w:instrText>
            </w:r>
            <w:r>
              <w:rPr>
                <w:noProof/>
                <w:webHidden/>
              </w:rPr>
            </w:r>
            <w:r>
              <w:rPr>
                <w:noProof/>
                <w:webHidden/>
              </w:rPr>
              <w:fldChar w:fldCharType="separate"/>
            </w:r>
            <w:r>
              <w:rPr>
                <w:noProof/>
                <w:webHidden/>
              </w:rPr>
              <w:t>11</w:t>
            </w:r>
            <w:r>
              <w:rPr>
                <w:noProof/>
                <w:webHidden/>
              </w:rPr>
              <w:fldChar w:fldCharType="end"/>
            </w:r>
          </w:hyperlink>
        </w:p>
        <w:p w14:paraId="4D25ABF0" w14:textId="77777777" w:rsidR="00161DE2" w:rsidRDefault="00161DE2" w:rsidP="00161DE2">
          <w:pPr>
            <w:pStyle w:val="Inhopg2"/>
            <w:tabs>
              <w:tab w:val="right" w:leader="dot" w:pos="9062"/>
            </w:tabs>
            <w:rPr>
              <w:rFonts w:eastAsiaTheme="minorEastAsia"/>
              <w:smallCaps w:val="0"/>
              <w:noProof/>
              <w:sz w:val="24"/>
              <w:szCs w:val="24"/>
              <w:lang w:eastAsia="nl-NL"/>
            </w:rPr>
          </w:pPr>
          <w:hyperlink w:anchor="_Toc213749961" w:history="1">
            <w:r w:rsidRPr="00F734E4">
              <w:rPr>
                <w:rStyle w:val="Hyperlink"/>
                <w:noProof/>
              </w:rPr>
              <w:t>Conclusie</w:t>
            </w:r>
            <w:r>
              <w:rPr>
                <w:noProof/>
                <w:webHidden/>
              </w:rPr>
              <w:tab/>
            </w:r>
            <w:r>
              <w:rPr>
                <w:noProof/>
                <w:webHidden/>
              </w:rPr>
              <w:fldChar w:fldCharType="begin"/>
            </w:r>
            <w:r>
              <w:rPr>
                <w:noProof/>
                <w:webHidden/>
              </w:rPr>
              <w:instrText xml:space="preserve"> PAGEREF _Toc213749961 \h </w:instrText>
            </w:r>
            <w:r>
              <w:rPr>
                <w:noProof/>
                <w:webHidden/>
              </w:rPr>
            </w:r>
            <w:r>
              <w:rPr>
                <w:noProof/>
                <w:webHidden/>
              </w:rPr>
              <w:fldChar w:fldCharType="separate"/>
            </w:r>
            <w:r>
              <w:rPr>
                <w:noProof/>
                <w:webHidden/>
              </w:rPr>
              <w:t>11</w:t>
            </w:r>
            <w:r>
              <w:rPr>
                <w:noProof/>
                <w:webHidden/>
              </w:rPr>
              <w:fldChar w:fldCharType="end"/>
            </w:r>
          </w:hyperlink>
        </w:p>
        <w:p w14:paraId="394207A1" w14:textId="77777777" w:rsidR="00161DE2" w:rsidRDefault="00161DE2" w:rsidP="00161DE2">
          <w:pPr>
            <w:pStyle w:val="Inhopg2"/>
            <w:tabs>
              <w:tab w:val="right" w:leader="dot" w:pos="9062"/>
            </w:tabs>
            <w:rPr>
              <w:rFonts w:eastAsiaTheme="minorEastAsia"/>
              <w:smallCaps w:val="0"/>
              <w:noProof/>
              <w:sz w:val="24"/>
              <w:szCs w:val="24"/>
              <w:lang w:eastAsia="nl-NL"/>
            </w:rPr>
          </w:pPr>
          <w:hyperlink w:anchor="_Toc213749962" w:history="1">
            <w:r w:rsidRPr="00F734E4">
              <w:rPr>
                <w:rStyle w:val="Hyperlink"/>
                <w:noProof/>
              </w:rPr>
              <w:t>Beslissingsmatrix Candriam</w:t>
            </w:r>
            <w:r>
              <w:rPr>
                <w:noProof/>
                <w:webHidden/>
              </w:rPr>
              <w:tab/>
            </w:r>
            <w:r>
              <w:rPr>
                <w:noProof/>
                <w:webHidden/>
              </w:rPr>
              <w:fldChar w:fldCharType="begin"/>
            </w:r>
            <w:r>
              <w:rPr>
                <w:noProof/>
                <w:webHidden/>
              </w:rPr>
              <w:instrText xml:space="preserve"> PAGEREF _Toc213749962 \h </w:instrText>
            </w:r>
            <w:r>
              <w:rPr>
                <w:noProof/>
                <w:webHidden/>
              </w:rPr>
            </w:r>
            <w:r>
              <w:rPr>
                <w:noProof/>
                <w:webHidden/>
              </w:rPr>
              <w:fldChar w:fldCharType="separate"/>
            </w:r>
            <w:r>
              <w:rPr>
                <w:noProof/>
                <w:webHidden/>
              </w:rPr>
              <w:t>12</w:t>
            </w:r>
            <w:r>
              <w:rPr>
                <w:noProof/>
                <w:webHidden/>
              </w:rPr>
              <w:fldChar w:fldCharType="end"/>
            </w:r>
          </w:hyperlink>
        </w:p>
        <w:p w14:paraId="352B857A" w14:textId="77777777" w:rsidR="00161DE2" w:rsidRDefault="00161DE2" w:rsidP="00161DE2">
          <w:pPr>
            <w:pStyle w:val="Inhopg2"/>
            <w:tabs>
              <w:tab w:val="right" w:leader="dot" w:pos="9062"/>
            </w:tabs>
            <w:rPr>
              <w:rFonts w:eastAsiaTheme="minorEastAsia"/>
              <w:smallCaps w:val="0"/>
              <w:noProof/>
              <w:sz w:val="24"/>
              <w:szCs w:val="24"/>
              <w:lang w:eastAsia="nl-NL"/>
            </w:rPr>
          </w:pPr>
          <w:hyperlink w:anchor="_Toc213749963" w:history="1">
            <w:r w:rsidRPr="00F734E4">
              <w:rPr>
                <w:rStyle w:val="Hyperlink"/>
                <w:noProof/>
              </w:rPr>
              <w:t>Toelichting per criterium</w:t>
            </w:r>
            <w:r>
              <w:rPr>
                <w:noProof/>
                <w:webHidden/>
              </w:rPr>
              <w:tab/>
            </w:r>
            <w:r>
              <w:rPr>
                <w:noProof/>
                <w:webHidden/>
              </w:rPr>
              <w:fldChar w:fldCharType="begin"/>
            </w:r>
            <w:r>
              <w:rPr>
                <w:noProof/>
                <w:webHidden/>
              </w:rPr>
              <w:instrText xml:space="preserve"> PAGEREF _Toc213749963 \h </w:instrText>
            </w:r>
            <w:r>
              <w:rPr>
                <w:noProof/>
                <w:webHidden/>
              </w:rPr>
            </w:r>
            <w:r>
              <w:rPr>
                <w:noProof/>
                <w:webHidden/>
              </w:rPr>
              <w:fldChar w:fldCharType="separate"/>
            </w:r>
            <w:r>
              <w:rPr>
                <w:noProof/>
                <w:webHidden/>
              </w:rPr>
              <w:t>12</w:t>
            </w:r>
            <w:r>
              <w:rPr>
                <w:noProof/>
                <w:webHidden/>
              </w:rPr>
              <w:fldChar w:fldCharType="end"/>
            </w:r>
          </w:hyperlink>
        </w:p>
        <w:p w14:paraId="61AC78ED" w14:textId="77777777" w:rsidR="00161DE2" w:rsidRDefault="00161DE2" w:rsidP="00161DE2">
          <w:pPr>
            <w:pStyle w:val="Inhopg1"/>
            <w:tabs>
              <w:tab w:val="right" w:leader="dot" w:pos="9062"/>
            </w:tabs>
            <w:rPr>
              <w:rFonts w:eastAsiaTheme="minorEastAsia"/>
              <w:b w:val="0"/>
              <w:bCs w:val="0"/>
              <w:caps w:val="0"/>
              <w:noProof/>
              <w:sz w:val="24"/>
              <w:szCs w:val="24"/>
              <w:lang w:eastAsia="nl-NL"/>
            </w:rPr>
          </w:pPr>
          <w:hyperlink w:anchor="_Toc213749964" w:history="1">
            <w:r w:rsidRPr="00F734E4">
              <w:rPr>
                <w:rStyle w:val="Hyperlink"/>
                <w:noProof/>
              </w:rPr>
              <w:t>Algemene conclusie</w:t>
            </w:r>
            <w:r>
              <w:rPr>
                <w:noProof/>
                <w:webHidden/>
              </w:rPr>
              <w:tab/>
            </w:r>
            <w:r>
              <w:rPr>
                <w:noProof/>
                <w:webHidden/>
              </w:rPr>
              <w:fldChar w:fldCharType="begin"/>
            </w:r>
            <w:r>
              <w:rPr>
                <w:noProof/>
                <w:webHidden/>
              </w:rPr>
              <w:instrText xml:space="preserve"> PAGEREF _Toc213749964 \h </w:instrText>
            </w:r>
            <w:r>
              <w:rPr>
                <w:noProof/>
                <w:webHidden/>
              </w:rPr>
            </w:r>
            <w:r>
              <w:rPr>
                <w:noProof/>
                <w:webHidden/>
              </w:rPr>
              <w:fldChar w:fldCharType="separate"/>
            </w:r>
            <w:r>
              <w:rPr>
                <w:noProof/>
                <w:webHidden/>
              </w:rPr>
              <w:t>12</w:t>
            </w:r>
            <w:r>
              <w:rPr>
                <w:noProof/>
                <w:webHidden/>
              </w:rPr>
              <w:fldChar w:fldCharType="end"/>
            </w:r>
          </w:hyperlink>
        </w:p>
        <w:p w14:paraId="30A8139C" w14:textId="77777777" w:rsidR="00161DE2" w:rsidRDefault="00161DE2" w:rsidP="00161DE2">
          <w:pPr>
            <w:pStyle w:val="Inhopg1"/>
            <w:tabs>
              <w:tab w:val="right" w:leader="dot" w:pos="9062"/>
            </w:tabs>
            <w:rPr>
              <w:rFonts w:eastAsiaTheme="minorEastAsia"/>
              <w:b w:val="0"/>
              <w:bCs w:val="0"/>
              <w:caps w:val="0"/>
              <w:noProof/>
              <w:sz w:val="24"/>
              <w:szCs w:val="24"/>
              <w:lang w:eastAsia="nl-NL"/>
            </w:rPr>
          </w:pPr>
          <w:hyperlink w:anchor="_Toc213749965" w:history="1">
            <w:r w:rsidRPr="00F734E4">
              <w:rPr>
                <w:rStyle w:val="Hyperlink"/>
                <w:noProof/>
              </w:rPr>
              <w:t>Keuze voor Robeco</w:t>
            </w:r>
            <w:r>
              <w:rPr>
                <w:noProof/>
                <w:webHidden/>
              </w:rPr>
              <w:tab/>
            </w:r>
            <w:r>
              <w:rPr>
                <w:noProof/>
                <w:webHidden/>
              </w:rPr>
              <w:fldChar w:fldCharType="begin"/>
            </w:r>
            <w:r>
              <w:rPr>
                <w:noProof/>
                <w:webHidden/>
              </w:rPr>
              <w:instrText xml:space="preserve"> PAGEREF _Toc213749965 \h </w:instrText>
            </w:r>
            <w:r>
              <w:rPr>
                <w:noProof/>
                <w:webHidden/>
              </w:rPr>
            </w:r>
            <w:r>
              <w:rPr>
                <w:noProof/>
                <w:webHidden/>
              </w:rPr>
              <w:fldChar w:fldCharType="separate"/>
            </w:r>
            <w:r>
              <w:rPr>
                <w:noProof/>
                <w:webHidden/>
              </w:rPr>
              <w:t>13</w:t>
            </w:r>
            <w:r>
              <w:rPr>
                <w:noProof/>
                <w:webHidden/>
              </w:rPr>
              <w:fldChar w:fldCharType="end"/>
            </w:r>
          </w:hyperlink>
        </w:p>
        <w:p w14:paraId="3B0516A6" w14:textId="77777777" w:rsidR="00161DE2" w:rsidRDefault="00161DE2" w:rsidP="00161DE2">
          <w:pPr>
            <w:pStyle w:val="Inhopg1"/>
            <w:tabs>
              <w:tab w:val="right" w:leader="dot" w:pos="9062"/>
            </w:tabs>
            <w:rPr>
              <w:rFonts w:eastAsiaTheme="minorEastAsia"/>
              <w:b w:val="0"/>
              <w:bCs w:val="0"/>
              <w:caps w:val="0"/>
              <w:noProof/>
              <w:sz w:val="24"/>
              <w:szCs w:val="24"/>
              <w:lang w:eastAsia="nl-NL"/>
            </w:rPr>
          </w:pPr>
          <w:hyperlink w:anchor="_Toc213749966" w:history="1">
            <w:r w:rsidRPr="00F734E4">
              <w:rPr>
                <w:rStyle w:val="Hyperlink"/>
                <w:noProof/>
              </w:rPr>
              <w:t>Bronnen</w:t>
            </w:r>
            <w:r>
              <w:rPr>
                <w:noProof/>
                <w:webHidden/>
              </w:rPr>
              <w:tab/>
            </w:r>
            <w:r>
              <w:rPr>
                <w:noProof/>
                <w:webHidden/>
              </w:rPr>
              <w:fldChar w:fldCharType="begin"/>
            </w:r>
            <w:r>
              <w:rPr>
                <w:noProof/>
                <w:webHidden/>
              </w:rPr>
              <w:instrText xml:space="preserve"> PAGEREF _Toc213749966 \h </w:instrText>
            </w:r>
            <w:r>
              <w:rPr>
                <w:noProof/>
                <w:webHidden/>
              </w:rPr>
            </w:r>
            <w:r>
              <w:rPr>
                <w:noProof/>
                <w:webHidden/>
              </w:rPr>
              <w:fldChar w:fldCharType="separate"/>
            </w:r>
            <w:r>
              <w:rPr>
                <w:noProof/>
                <w:webHidden/>
              </w:rPr>
              <w:t>14</w:t>
            </w:r>
            <w:r>
              <w:rPr>
                <w:noProof/>
                <w:webHidden/>
              </w:rPr>
              <w:fldChar w:fldCharType="end"/>
            </w:r>
          </w:hyperlink>
        </w:p>
        <w:p w14:paraId="4D42A303" w14:textId="77777777" w:rsidR="00161DE2" w:rsidRDefault="00161DE2" w:rsidP="00161DE2">
          <w:r>
            <w:rPr>
              <w:b/>
              <w:bCs/>
              <w:noProof/>
            </w:rPr>
            <w:fldChar w:fldCharType="end"/>
          </w:r>
        </w:p>
      </w:sdtContent>
    </w:sdt>
    <w:p w14:paraId="10749996" w14:textId="77777777" w:rsidR="00161DE2" w:rsidRDefault="00161DE2" w:rsidP="00161DE2"/>
    <w:p w14:paraId="6434CDC1" w14:textId="77777777" w:rsidR="00161DE2" w:rsidRDefault="00161DE2" w:rsidP="00161DE2"/>
    <w:p w14:paraId="58C66324" w14:textId="77777777" w:rsidR="00161DE2" w:rsidRDefault="00161DE2" w:rsidP="00161DE2"/>
    <w:p w14:paraId="4DD649D9" w14:textId="77777777" w:rsidR="00161DE2" w:rsidRDefault="00161DE2" w:rsidP="00161DE2"/>
    <w:p w14:paraId="30DBE7A5" w14:textId="77777777" w:rsidR="00161DE2" w:rsidRDefault="00161DE2" w:rsidP="00161DE2"/>
    <w:p w14:paraId="7F52684C" w14:textId="77777777" w:rsidR="00161DE2" w:rsidRDefault="00161DE2" w:rsidP="00161DE2"/>
    <w:p w14:paraId="17783721" w14:textId="77777777" w:rsidR="00161DE2" w:rsidRDefault="00161DE2" w:rsidP="00161DE2"/>
    <w:p w14:paraId="79E7A8DA" w14:textId="77777777" w:rsidR="00161DE2" w:rsidRPr="007516EC" w:rsidRDefault="00161DE2" w:rsidP="00161DE2"/>
    <w:p w14:paraId="4745B86B" w14:textId="77777777" w:rsidR="00161DE2" w:rsidRPr="000A11F5" w:rsidRDefault="00161DE2" w:rsidP="00161DE2">
      <w:pPr>
        <w:pStyle w:val="Kop1"/>
      </w:pPr>
      <w:bookmarkStart w:id="0" w:name="_Toc213749936"/>
      <w:r w:rsidRPr="00E95B1B">
        <w:t>Robeco</w:t>
      </w:r>
      <w:bookmarkEnd w:id="0"/>
    </w:p>
    <w:p w14:paraId="58C0B936" w14:textId="77777777" w:rsidR="00161DE2" w:rsidRPr="000A11F5" w:rsidRDefault="00161DE2" w:rsidP="00161DE2">
      <w:pPr>
        <w:pStyle w:val="Kop2"/>
      </w:pPr>
      <w:bookmarkStart w:id="1" w:name="_Toc213749937"/>
      <w:r w:rsidRPr="000A11F5">
        <w:t>1. Duurzaamheidsbeleid</w:t>
      </w:r>
      <w:bookmarkEnd w:id="1"/>
    </w:p>
    <w:p w14:paraId="748E2C5F" w14:textId="77777777" w:rsidR="00161DE2" w:rsidRPr="00E95B1B" w:rsidRDefault="00161DE2" w:rsidP="00161DE2">
      <w:pPr>
        <w:pStyle w:val="Normaalweb"/>
        <w:spacing w:before="0" w:beforeAutospacing="0" w:after="0" w:afterAutospacing="0"/>
        <w:rPr>
          <w:rFonts w:asciiTheme="minorHAnsi" w:hAnsiTheme="minorHAnsi"/>
          <w:color w:val="000000"/>
        </w:rPr>
      </w:pPr>
      <w:r w:rsidRPr="00E95B1B">
        <w:rPr>
          <w:rFonts w:asciiTheme="minorHAnsi" w:hAnsiTheme="minorHAnsi"/>
          <w:color w:val="000000"/>
        </w:rPr>
        <w:t xml:space="preserve">Robeco staat bekend als een van de koplopers op het gebied van duurzaam beleggen in Nederland en Europa. Het bedrijf heeft een uitgebreid duurzaamheidsbeleid waarin milieu-, sociale en </w:t>
      </w:r>
      <w:proofErr w:type="spellStart"/>
      <w:r w:rsidRPr="00E95B1B">
        <w:rPr>
          <w:rFonts w:asciiTheme="minorHAnsi" w:hAnsiTheme="minorHAnsi"/>
          <w:color w:val="000000"/>
        </w:rPr>
        <w:t>governancefactoren</w:t>
      </w:r>
      <w:proofErr w:type="spellEnd"/>
      <w:r w:rsidRPr="00E95B1B">
        <w:rPr>
          <w:rFonts w:asciiTheme="minorHAnsi" w:hAnsiTheme="minorHAnsi"/>
          <w:color w:val="000000"/>
        </w:rPr>
        <w:t xml:space="preserve"> (ESG) structureel worden geïntegreerd in het beleggingsproces. In de beleidsnota over duurzaamheid (Robeco, 2024a) wordt duidelijk uitgelegd hoe het bedrijf duurzaamheidsaspecten gebruikt bij beleggingsbeslissingen, en hoe dit beleid aansluit op internationale richtlijnen zoals de doelstellingen van de Verenigde Naties voor duurzame ontwikkeling en de principes voor verantwoord beleggen.</w:t>
      </w:r>
    </w:p>
    <w:p w14:paraId="0D493DF6" w14:textId="77777777" w:rsidR="00161DE2" w:rsidRPr="00E95B1B" w:rsidRDefault="00161DE2" w:rsidP="00161DE2">
      <w:pPr>
        <w:pStyle w:val="Normaalweb"/>
        <w:spacing w:before="0" w:beforeAutospacing="0" w:after="0" w:afterAutospacing="0"/>
        <w:rPr>
          <w:rFonts w:asciiTheme="minorHAnsi" w:hAnsiTheme="minorHAnsi"/>
          <w:color w:val="000000"/>
        </w:rPr>
      </w:pPr>
    </w:p>
    <w:p w14:paraId="4DDACD2D" w14:textId="77777777" w:rsidR="00161DE2" w:rsidRPr="00E95B1B" w:rsidRDefault="00161DE2" w:rsidP="00161DE2">
      <w:pPr>
        <w:pStyle w:val="Normaalweb"/>
        <w:spacing w:before="0" w:beforeAutospacing="0" w:after="0" w:afterAutospacing="0"/>
        <w:rPr>
          <w:rFonts w:asciiTheme="minorHAnsi" w:hAnsiTheme="minorHAnsi"/>
          <w:color w:val="000000"/>
        </w:rPr>
      </w:pPr>
      <w:r w:rsidRPr="00E95B1B">
        <w:rPr>
          <w:rFonts w:asciiTheme="minorHAnsi" w:hAnsiTheme="minorHAnsi"/>
          <w:color w:val="000000"/>
        </w:rPr>
        <w:t>Daarnaast heeft Robeco een beleidsdocument over actief aandeelhouderschap waarin staat hoe het bedrijf invloed uitoefent op ondernemingen waarin het belegt. Dit gebeurt via gesprekken met bedrijven en het stemmen op aandeelhoudersvergaderingen. Uit het verslag over aandeelhouderschap van 2023 blijkt dat Robeco in dat jaar met ruim tweehonderddertig bedrijven in gesprek ging over thema’s als klimaat, mensenrechten en biodiversiteit (Robeco, 2024b). Hiermee laat het bedrijf zien dat het beleid niet alleen theoretisch is, maar ook daadwerkelijk in de praktijk wordt uitgevoerd.</w:t>
      </w:r>
    </w:p>
    <w:p w14:paraId="5DFE03C6" w14:textId="77777777" w:rsidR="00161DE2" w:rsidRPr="00E95B1B" w:rsidRDefault="00161DE2" w:rsidP="00161DE2">
      <w:pPr>
        <w:pStyle w:val="Normaalweb"/>
        <w:spacing w:before="0" w:beforeAutospacing="0" w:after="0" w:afterAutospacing="0"/>
        <w:rPr>
          <w:rFonts w:asciiTheme="minorHAnsi" w:hAnsiTheme="minorHAnsi"/>
          <w:color w:val="000000"/>
        </w:rPr>
      </w:pPr>
    </w:p>
    <w:p w14:paraId="74E3A741" w14:textId="77777777" w:rsidR="00161DE2" w:rsidRPr="00E95B1B" w:rsidRDefault="00161DE2" w:rsidP="00161DE2">
      <w:pPr>
        <w:pStyle w:val="Normaalweb"/>
        <w:spacing w:before="0" w:beforeAutospacing="0" w:after="0" w:afterAutospacing="0"/>
        <w:rPr>
          <w:rFonts w:asciiTheme="minorHAnsi" w:hAnsiTheme="minorHAnsi"/>
          <w:color w:val="000000"/>
        </w:rPr>
      </w:pPr>
      <w:r w:rsidRPr="00E95B1B">
        <w:rPr>
          <w:rFonts w:asciiTheme="minorHAnsi" w:hAnsiTheme="minorHAnsi"/>
          <w:color w:val="000000"/>
        </w:rPr>
        <w:t xml:space="preserve">Het uitsluitingsbeleid (Robeco, 2024c) vormt een belangrijk onderdeel van de duurzame strategie. Robeco belegt niet in bedrijven die betrokken zijn bij de productie van tabak, kolen </w:t>
      </w:r>
      <w:r>
        <w:rPr>
          <w:rFonts w:asciiTheme="minorHAnsi" w:hAnsiTheme="minorHAnsi"/>
          <w:color w:val="000000"/>
        </w:rPr>
        <w:t xml:space="preserve">en </w:t>
      </w:r>
      <w:r w:rsidRPr="00E95B1B">
        <w:rPr>
          <w:rFonts w:asciiTheme="minorHAnsi" w:hAnsiTheme="minorHAnsi"/>
          <w:color w:val="000000"/>
        </w:rPr>
        <w:t>controversiële wapens. Ook ondernemingen die niet voldoen aan internationale normen, zoals de principes van het Global Compact van de Verenigde Naties, worden uitgesloten van beleggingen.</w:t>
      </w:r>
    </w:p>
    <w:p w14:paraId="5C947122" w14:textId="77777777" w:rsidR="00161DE2" w:rsidRPr="00E95B1B" w:rsidRDefault="00161DE2" w:rsidP="00161DE2">
      <w:pPr>
        <w:pStyle w:val="Normaalweb"/>
        <w:spacing w:before="0" w:beforeAutospacing="0" w:after="0" w:afterAutospacing="0"/>
        <w:rPr>
          <w:rFonts w:asciiTheme="minorHAnsi" w:hAnsiTheme="minorHAnsi"/>
          <w:color w:val="000000"/>
        </w:rPr>
      </w:pPr>
    </w:p>
    <w:p w14:paraId="45C4FD64" w14:textId="77777777" w:rsidR="00161DE2" w:rsidRPr="00E95B1B" w:rsidRDefault="00161DE2" w:rsidP="00161DE2">
      <w:pPr>
        <w:pStyle w:val="Normaalweb"/>
        <w:spacing w:before="0" w:beforeAutospacing="0" w:after="0" w:afterAutospacing="0"/>
        <w:rPr>
          <w:rFonts w:asciiTheme="minorHAnsi" w:hAnsiTheme="minorHAnsi"/>
          <w:color w:val="000000"/>
        </w:rPr>
      </w:pPr>
      <w:r w:rsidRPr="00E95B1B">
        <w:rPr>
          <w:rFonts w:asciiTheme="minorHAnsi" w:hAnsiTheme="minorHAnsi"/>
          <w:color w:val="000000"/>
        </w:rPr>
        <w:t>Wat betreft de Europese regels voor duurzame financiële verslaglegging (SFDR) heeft Robeco haar fondsen ingedeeld in drie categorieën: fondsen zonder duurzaamheidskenmerken, fondsen die duurzaamheidsaspecten bevorderen en fondsen die als doel hebben om duurzaam te beleggen. Het grootste deel van de fondsen valt in de tweede categorie. In de toelichting op deze regelgeving legt Robeco uit hoe de indeling tot stand komt en hoe er jaarlijks wordt gerapporteerd over de belangrijkste negatieve effecten van beleggingen op duurzaamheid (Robeco, 2023a).</w:t>
      </w:r>
    </w:p>
    <w:p w14:paraId="3139CF94" w14:textId="77777777" w:rsidR="00161DE2" w:rsidRPr="00E95B1B" w:rsidRDefault="00161DE2" w:rsidP="00161DE2">
      <w:pPr>
        <w:pStyle w:val="Normaalweb"/>
        <w:spacing w:before="0" w:beforeAutospacing="0" w:after="0" w:afterAutospacing="0"/>
        <w:rPr>
          <w:rFonts w:asciiTheme="minorHAnsi" w:hAnsiTheme="minorHAnsi"/>
          <w:color w:val="000000"/>
        </w:rPr>
      </w:pPr>
    </w:p>
    <w:p w14:paraId="11DD29F9" w14:textId="77777777" w:rsidR="00161DE2" w:rsidRPr="00E95B1B" w:rsidRDefault="00161DE2" w:rsidP="00161DE2">
      <w:pPr>
        <w:pStyle w:val="Normaalweb"/>
        <w:spacing w:before="0" w:beforeAutospacing="0" w:after="0" w:afterAutospacing="0"/>
        <w:rPr>
          <w:rFonts w:asciiTheme="minorHAnsi" w:hAnsiTheme="minorHAnsi"/>
          <w:color w:val="000000"/>
        </w:rPr>
      </w:pPr>
      <w:r w:rsidRPr="00E95B1B">
        <w:rPr>
          <w:rFonts w:asciiTheme="minorHAnsi" w:hAnsiTheme="minorHAnsi"/>
          <w:color w:val="000000"/>
        </w:rPr>
        <w:t>Samenvattend beschikt Robeco over een uitgebreid en transparant duurzaamheidsbeleid dat goed aansluit bij Europese regelgeving en internationale normen. De combinatie van duidelijke documenten, betrokkenheid bij ondernemingen en uitgebreide rapportage maakt het duurzaamheidsbeleid overtuigend en geloofwaardig.</w:t>
      </w:r>
    </w:p>
    <w:p w14:paraId="6C9FFAB0" w14:textId="77777777" w:rsidR="00161DE2" w:rsidRPr="00E95B1B" w:rsidRDefault="00161DE2" w:rsidP="00161DE2"/>
    <w:p w14:paraId="50612BD8" w14:textId="77777777" w:rsidR="00161DE2" w:rsidRPr="00E95B1B" w:rsidRDefault="00161DE2" w:rsidP="00161DE2">
      <w:pPr>
        <w:pStyle w:val="Kop2"/>
      </w:pPr>
      <w:bookmarkStart w:id="2" w:name="_Toc213749938"/>
      <w:r w:rsidRPr="00E95B1B">
        <w:t xml:space="preserve">2. </w:t>
      </w:r>
      <w:proofErr w:type="spellStart"/>
      <w:r w:rsidRPr="00E95B1B">
        <w:t>Governance</w:t>
      </w:r>
      <w:bookmarkEnd w:id="2"/>
      <w:proofErr w:type="spellEnd"/>
    </w:p>
    <w:p w14:paraId="3ADBEBB0" w14:textId="77777777" w:rsidR="00161DE2" w:rsidRPr="00E95B1B" w:rsidRDefault="00161DE2" w:rsidP="00161DE2">
      <w:pPr>
        <w:pStyle w:val="Normaalweb"/>
        <w:spacing w:before="0" w:beforeAutospacing="0" w:after="0" w:afterAutospacing="0"/>
        <w:rPr>
          <w:rFonts w:asciiTheme="minorHAnsi" w:hAnsiTheme="minorHAnsi"/>
          <w:color w:val="000000"/>
        </w:rPr>
      </w:pPr>
      <w:r w:rsidRPr="00E95B1B">
        <w:rPr>
          <w:rFonts w:asciiTheme="minorHAnsi" w:hAnsiTheme="minorHAnsi"/>
          <w:color w:val="000000"/>
        </w:rPr>
        <w:t xml:space="preserve">Op het gebied van bestuur heeft Robeco een duidelijke en professionele structuur. Robeco </w:t>
      </w:r>
      <w:proofErr w:type="spellStart"/>
      <w:r w:rsidRPr="00E95B1B">
        <w:rPr>
          <w:rFonts w:asciiTheme="minorHAnsi" w:hAnsiTheme="minorHAnsi"/>
          <w:color w:val="000000"/>
        </w:rPr>
        <w:t>Institutional</w:t>
      </w:r>
      <w:proofErr w:type="spellEnd"/>
      <w:r w:rsidRPr="00E95B1B">
        <w:rPr>
          <w:rFonts w:asciiTheme="minorHAnsi" w:hAnsiTheme="minorHAnsi"/>
          <w:color w:val="000000"/>
        </w:rPr>
        <w:t xml:space="preserve"> Asset Management B.V. is onderdeel van ORIX Corporation Europe, maar opereert grotendeels zelfstandig binnen Nederland. De dagelijkse leiding ligt bij de directie, onder leiding van algemeen directeur Karin van Baardwijk. Het toezicht wordt uitgevoerd door de raad van commissarissen, die wordt ondersteund door commissies voor onder meer controle, risico’s en beloning (Robeco, 2024d).</w:t>
      </w:r>
    </w:p>
    <w:p w14:paraId="21EDA032" w14:textId="77777777" w:rsidR="00161DE2" w:rsidRPr="00E95B1B" w:rsidRDefault="00161DE2" w:rsidP="00161DE2">
      <w:pPr>
        <w:pStyle w:val="Normaalweb"/>
        <w:spacing w:before="0" w:beforeAutospacing="0" w:after="0" w:afterAutospacing="0"/>
        <w:rPr>
          <w:rFonts w:asciiTheme="minorHAnsi" w:hAnsiTheme="minorHAnsi"/>
          <w:color w:val="000000"/>
        </w:rPr>
      </w:pPr>
    </w:p>
    <w:p w14:paraId="34276F2A" w14:textId="77777777" w:rsidR="00161DE2" w:rsidRPr="00E95B1B" w:rsidRDefault="00161DE2" w:rsidP="00161DE2">
      <w:pPr>
        <w:pStyle w:val="Normaalweb"/>
        <w:spacing w:before="0" w:beforeAutospacing="0" w:after="0" w:afterAutospacing="0"/>
        <w:rPr>
          <w:rFonts w:asciiTheme="minorHAnsi" w:hAnsiTheme="minorHAnsi"/>
          <w:color w:val="000000"/>
        </w:rPr>
      </w:pPr>
      <w:r w:rsidRPr="00E95B1B">
        <w:rPr>
          <w:rFonts w:asciiTheme="minorHAnsi" w:hAnsiTheme="minorHAnsi"/>
          <w:color w:val="000000"/>
        </w:rPr>
        <w:t>Het beloningsbeleid van Robeco is helder beschreven in de beleidsnota over beloningen (Robeco, 2023b). De vaste en variabele beloningen zijn gekoppeld aan zowel financiële prestaties als niet-financiële doelen, zoals naleving van wet- en regelgeving, risicobeheersing en duurzaamheid. Hierdoor wordt voorkomen dat medewerkers of bestuurders te veel worden gestuurd door korte termijn winstdoelen. De variabele beloning kan worden verlaagd of ingetrokken als niet aan de gestelde eisen wordt voldaan.</w:t>
      </w:r>
    </w:p>
    <w:p w14:paraId="67E05F4B" w14:textId="77777777" w:rsidR="00161DE2" w:rsidRPr="00E95B1B" w:rsidRDefault="00161DE2" w:rsidP="00161DE2">
      <w:pPr>
        <w:pStyle w:val="Normaalweb"/>
        <w:spacing w:before="0" w:beforeAutospacing="0" w:after="0" w:afterAutospacing="0"/>
        <w:rPr>
          <w:rFonts w:asciiTheme="minorHAnsi" w:hAnsiTheme="minorHAnsi"/>
          <w:color w:val="000000"/>
        </w:rPr>
      </w:pPr>
    </w:p>
    <w:p w14:paraId="25B4B390" w14:textId="77777777" w:rsidR="00161DE2" w:rsidRPr="00E95B1B" w:rsidRDefault="00161DE2" w:rsidP="00161DE2">
      <w:pPr>
        <w:pStyle w:val="Normaalweb"/>
        <w:spacing w:before="0" w:beforeAutospacing="0" w:after="0" w:afterAutospacing="0"/>
        <w:rPr>
          <w:rFonts w:asciiTheme="minorHAnsi" w:hAnsiTheme="minorHAnsi"/>
          <w:color w:val="000000"/>
        </w:rPr>
      </w:pPr>
      <w:r w:rsidRPr="00E95B1B">
        <w:rPr>
          <w:rFonts w:asciiTheme="minorHAnsi" w:hAnsiTheme="minorHAnsi"/>
          <w:color w:val="000000"/>
        </w:rPr>
        <w:t>Robeco onderscheidt zich ook door de openheid van haar communicatie. In het geïntegreerde jaarverslag van 2023 worden zowel financiële als niet-financiële prestaties samengebracht. Daarin beschrijft Robeco de voortgang op duurzaamheidsdoelen, de samenstelling van het bestuur en het toezicht op naleving van interne gedragscodes (Robeco, 2024e). Het bedrijf benadrukt dat integer handelen en maatschappelijk verantwoord ondernemen belangrijke uitgangspunten zijn.</w:t>
      </w:r>
    </w:p>
    <w:p w14:paraId="205963B2" w14:textId="77777777" w:rsidR="00161DE2" w:rsidRPr="00E95B1B" w:rsidRDefault="00161DE2" w:rsidP="00161DE2">
      <w:pPr>
        <w:pStyle w:val="Normaalweb"/>
        <w:spacing w:before="0" w:beforeAutospacing="0" w:after="0" w:afterAutospacing="0"/>
        <w:rPr>
          <w:rFonts w:asciiTheme="minorHAnsi" w:hAnsiTheme="minorHAnsi"/>
          <w:color w:val="000000"/>
        </w:rPr>
      </w:pPr>
    </w:p>
    <w:p w14:paraId="205268FA" w14:textId="77777777" w:rsidR="00161DE2" w:rsidRPr="00E95B1B" w:rsidRDefault="00161DE2" w:rsidP="00161DE2">
      <w:pPr>
        <w:pStyle w:val="Normaalweb"/>
        <w:spacing w:before="0" w:beforeAutospacing="0" w:after="0" w:afterAutospacing="0"/>
        <w:rPr>
          <w:rFonts w:asciiTheme="minorHAnsi" w:hAnsiTheme="minorHAnsi"/>
          <w:color w:val="000000"/>
        </w:rPr>
      </w:pPr>
      <w:r w:rsidRPr="00E95B1B">
        <w:rPr>
          <w:rFonts w:asciiTheme="minorHAnsi" w:hAnsiTheme="minorHAnsi"/>
          <w:color w:val="000000"/>
        </w:rPr>
        <w:t>Daarnaast publiceert Robeco een verklaring over haar bestuursstructuur waarin de verhouding tussen Robeco en het moederbedrijf ORIX wordt toegelicht (Robeco, 2024f). Ondanks dat Robeco onderdeel is van een internationale groep, is er geen aanwijzing dat dit tot belangenconflicten heeft geleid.</w:t>
      </w:r>
    </w:p>
    <w:p w14:paraId="1491F2F9" w14:textId="77777777" w:rsidR="00161DE2" w:rsidRPr="00E95B1B" w:rsidRDefault="00161DE2" w:rsidP="00161DE2">
      <w:pPr>
        <w:pStyle w:val="Normaalweb"/>
        <w:spacing w:before="0" w:beforeAutospacing="0" w:after="0" w:afterAutospacing="0"/>
        <w:rPr>
          <w:rFonts w:asciiTheme="minorHAnsi" w:hAnsiTheme="minorHAnsi"/>
          <w:color w:val="000000"/>
        </w:rPr>
      </w:pPr>
    </w:p>
    <w:p w14:paraId="3E22FE1E" w14:textId="77777777" w:rsidR="00161DE2" w:rsidRPr="00E95B1B" w:rsidRDefault="00161DE2" w:rsidP="00161DE2">
      <w:pPr>
        <w:pStyle w:val="Normaalweb"/>
        <w:spacing w:before="0" w:beforeAutospacing="0" w:after="0" w:afterAutospacing="0"/>
        <w:rPr>
          <w:rFonts w:asciiTheme="minorHAnsi" w:hAnsiTheme="minorHAnsi"/>
          <w:color w:val="000000"/>
        </w:rPr>
      </w:pPr>
      <w:r w:rsidRPr="00E95B1B">
        <w:rPr>
          <w:rFonts w:asciiTheme="minorHAnsi" w:hAnsiTheme="minorHAnsi"/>
          <w:color w:val="000000"/>
        </w:rPr>
        <w:t>Over het geheel genomen beschikt Robeco over een transparant en degelijk bestuursmodel met een verantwoord beloningsbeleid en duidelijke communicatie naar klanten en toezichthouders.</w:t>
      </w:r>
    </w:p>
    <w:p w14:paraId="5F7B9F8F" w14:textId="77777777" w:rsidR="00161DE2" w:rsidRPr="00E95B1B" w:rsidRDefault="00161DE2" w:rsidP="00161DE2"/>
    <w:p w14:paraId="24A528E9" w14:textId="77777777" w:rsidR="00161DE2" w:rsidRPr="00E95B1B" w:rsidRDefault="00161DE2" w:rsidP="00161DE2">
      <w:pPr>
        <w:pStyle w:val="Kop2"/>
      </w:pPr>
      <w:bookmarkStart w:id="3" w:name="_Toc213749939"/>
      <w:r w:rsidRPr="00E95B1B">
        <w:t>3. Bad Press</w:t>
      </w:r>
      <w:bookmarkEnd w:id="3"/>
    </w:p>
    <w:p w14:paraId="6F1F4510" w14:textId="77777777" w:rsidR="00161DE2" w:rsidRPr="00E95B1B" w:rsidRDefault="00161DE2" w:rsidP="00161DE2">
      <w:pPr>
        <w:pStyle w:val="Normaalweb"/>
        <w:spacing w:before="0" w:beforeAutospacing="0" w:after="0" w:afterAutospacing="0"/>
        <w:rPr>
          <w:rFonts w:asciiTheme="minorHAnsi" w:hAnsiTheme="minorHAnsi"/>
          <w:color w:val="000000"/>
        </w:rPr>
      </w:pPr>
      <w:r w:rsidRPr="00E95B1B">
        <w:rPr>
          <w:rFonts w:asciiTheme="minorHAnsi" w:hAnsiTheme="minorHAnsi"/>
          <w:color w:val="000000"/>
        </w:rPr>
        <w:t>De reputatie van Robeco is over het algemeen sterk, maar het bedrijf heeft de afgelopen jaren te maken gehad met enkele incidenten die van invloed waren op het vertrouwen van klanten en toezichthouders.</w:t>
      </w:r>
    </w:p>
    <w:p w14:paraId="1DA96F86" w14:textId="77777777" w:rsidR="00161DE2" w:rsidRPr="00E95B1B" w:rsidRDefault="00161DE2" w:rsidP="00161DE2">
      <w:pPr>
        <w:pStyle w:val="Normaalweb"/>
        <w:spacing w:before="0" w:beforeAutospacing="0" w:after="0" w:afterAutospacing="0"/>
        <w:rPr>
          <w:rFonts w:asciiTheme="minorHAnsi" w:hAnsiTheme="minorHAnsi"/>
          <w:color w:val="000000"/>
        </w:rPr>
      </w:pPr>
    </w:p>
    <w:p w14:paraId="08283323" w14:textId="77777777" w:rsidR="00161DE2" w:rsidRPr="00E95B1B" w:rsidRDefault="00161DE2" w:rsidP="00161DE2">
      <w:pPr>
        <w:pStyle w:val="Normaalweb"/>
        <w:spacing w:before="0" w:beforeAutospacing="0" w:after="0" w:afterAutospacing="0"/>
        <w:rPr>
          <w:rFonts w:asciiTheme="minorHAnsi" w:hAnsiTheme="minorHAnsi"/>
          <w:color w:val="000000"/>
        </w:rPr>
      </w:pPr>
      <w:r w:rsidRPr="00E95B1B">
        <w:rPr>
          <w:rFonts w:asciiTheme="minorHAnsi" w:hAnsiTheme="minorHAnsi"/>
          <w:color w:val="000000"/>
        </w:rPr>
        <w:lastRenderedPageBreak/>
        <w:t>Het belangrijkste geval vond plaats in maart 2022, toen de Autoriteit Financiële Markten (AFM) Robeco een boete van twee miljoen euro oplegde vanwege tekortschietend onderzoek naar klanten in de periode 2018 tot 2020 (AFM, 2022a). Volgens de toezichthouder had Robeco in een aantal gevallen onvoldoende onderzocht of klanten mogelijk betrokken waren bij witwaspraktijken. Robeco erkende de tekortkomingen en verklaarde dat de interne procedures al waren verbeterd voordat de boete werd opgelegd. In juli 2022 bevestigde de AFM dat Robeco aan alle eisen voldeed (AFM, 2022b).</w:t>
      </w:r>
    </w:p>
    <w:p w14:paraId="093E75D3" w14:textId="77777777" w:rsidR="00161DE2" w:rsidRPr="00E95B1B" w:rsidRDefault="00161DE2" w:rsidP="00161DE2">
      <w:pPr>
        <w:pStyle w:val="Normaalweb"/>
        <w:spacing w:before="0" w:beforeAutospacing="0" w:after="0" w:afterAutospacing="0"/>
        <w:rPr>
          <w:rFonts w:asciiTheme="minorHAnsi" w:hAnsiTheme="minorHAnsi"/>
          <w:color w:val="000000"/>
        </w:rPr>
      </w:pPr>
    </w:p>
    <w:p w14:paraId="3C3AC44B" w14:textId="77777777" w:rsidR="00161DE2" w:rsidRPr="00E95B1B" w:rsidRDefault="00161DE2" w:rsidP="00161DE2">
      <w:pPr>
        <w:pStyle w:val="Normaalweb"/>
        <w:spacing w:before="0" w:beforeAutospacing="0" w:after="0" w:afterAutospacing="0"/>
        <w:rPr>
          <w:rFonts w:asciiTheme="minorHAnsi" w:hAnsiTheme="minorHAnsi"/>
          <w:color w:val="000000"/>
        </w:rPr>
      </w:pPr>
      <w:r w:rsidRPr="00E95B1B">
        <w:rPr>
          <w:rFonts w:asciiTheme="minorHAnsi" w:hAnsiTheme="minorHAnsi"/>
          <w:color w:val="000000"/>
        </w:rPr>
        <w:t xml:space="preserve">In 2025 werd Robeco genoemd in een onderzoek van The </w:t>
      </w:r>
      <w:proofErr w:type="spellStart"/>
      <w:r w:rsidRPr="00E95B1B">
        <w:rPr>
          <w:rFonts w:asciiTheme="minorHAnsi" w:hAnsiTheme="minorHAnsi"/>
          <w:color w:val="000000"/>
        </w:rPr>
        <w:t>Guardian</w:t>
      </w:r>
      <w:proofErr w:type="spellEnd"/>
      <w:r w:rsidRPr="00E95B1B">
        <w:rPr>
          <w:rFonts w:asciiTheme="minorHAnsi" w:hAnsiTheme="minorHAnsi"/>
          <w:color w:val="000000"/>
        </w:rPr>
        <w:t xml:space="preserve"> naar Europese beleggingsfondsen die zich als duurzaam presenteren maar nog investeringen aanhouden in fossiele bedrijven. Robeco kwam in dit onderzoek naar voren vanwege een fonds met een belang in </w:t>
      </w:r>
      <w:proofErr w:type="spellStart"/>
      <w:r w:rsidRPr="00E95B1B">
        <w:rPr>
          <w:rFonts w:asciiTheme="minorHAnsi" w:hAnsiTheme="minorHAnsi"/>
          <w:color w:val="000000"/>
        </w:rPr>
        <w:t>TotalEnergies</w:t>
      </w:r>
      <w:proofErr w:type="spellEnd"/>
      <w:r w:rsidRPr="00E95B1B">
        <w:rPr>
          <w:rFonts w:asciiTheme="minorHAnsi" w:hAnsiTheme="minorHAnsi"/>
          <w:color w:val="000000"/>
        </w:rPr>
        <w:t xml:space="preserve"> SE. Het bedrijf reageerde door de naam van het fonds aan te passen en de informatie over duurzaamheid te verduidelijken, zodat beleggers beter inzicht kregen in de werkelijke samenstelling van het fonds (</w:t>
      </w:r>
      <w:proofErr w:type="spellStart"/>
      <w:r w:rsidRPr="00E95B1B">
        <w:rPr>
          <w:rFonts w:asciiTheme="minorHAnsi" w:hAnsiTheme="minorHAnsi"/>
          <w:color w:val="000000"/>
        </w:rPr>
        <w:t>Carrington</w:t>
      </w:r>
      <w:proofErr w:type="spellEnd"/>
      <w:r w:rsidRPr="00E95B1B">
        <w:rPr>
          <w:rFonts w:asciiTheme="minorHAnsi" w:hAnsiTheme="minorHAnsi"/>
          <w:color w:val="000000"/>
        </w:rPr>
        <w:t>, 2025).</w:t>
      </w:r>
    </w:p>
    <w:p w14:paraId="35894445" w14:textId="77777777" w:rsidR="00161DE2" w:rsidRPr="00E95B1B" w:rsidRDefault="00161DE2" w:rsidP="00161DE2">
      <w:pPr>
        <w:pStyle w:val="Normaalweb"/>
        <w:spacing w:before="0" w:beforeAutospacing="0" w:after="0" w:afterAutospacing="0"/>
        <w:rPr>
          <w:rFonts w:asciiTheme="minorHAnsi" w:hAnsiTheme="minorHAnsi"/>
          <w:color w:val="000000"/>
        </w:rPr>
      </w:pPr>
    </w:p>
    <w:p w14:paraId="6E0CC86E" w14:textId="77777777" w:rsidR="00161DE2" w:rsidRPr="000A11F5" w:rsidRDefault="00161DE2" w:rsidP="00161DE2">
      <w:pPr>
        <w:pStyle w:val="Normaalweb"/>
        <w:spacing w:before="0" w:beforeAutospacing="0" w:after="0" w:afterAutospacing="0"/>
        <w:rPr>
          <w:rFonts w:asciiTheme="minorHAnsi" w:hAnsiTheme="minorHAnsi"/>
          <w:color w:val="000000"/>
        </w:rPr>
      </w:pPr>
      <w:r w:rsidRPr="00E95B1B">
        <w:rPr>
          <w:rFonts w:asciiTheme="minorHAnsi" w:hAnsiTheme="minorHAnsi"/>
          <w:color w:val="000000"/>
        </w:rPr>
        <w:t>Hoewel deze incidenten invloed hadden op de reputatie, blijkt uit de opvolging dat Robeco open en lerend omgaat met kritiek. De verbeteringen na de AFM-boete en de aanpassing van fondsnamen laten zien dat het bedrijf bereid is beleid aan te passen om transparanter te worden.</w:t>
      </w:r>
    </w:p>
    <w:p w14:paraId="7B721B18" w14:textId="77777777" w:rsidR="00161DE2" w:rsidRPr="000A11F5" w:rsidRDefault="00161DE2" w:rsidP="00161DE2">
      <w:pPr>
        <w:pStyle w:val="Kop2"/>
      </w:pPr>
      <w:bookmarkStart w:id="4" w:name="_Toc213749940"/>
      <w:r w:rsidRPr="000A11F5">
        <w:t>Conclusie</w:t>
      </w:r>
      <w:bookmarkEnd w:id="4"/>
    </w:p>
    <w:p w14:paraId="638660BA" w14:textId="77777777" w:rsidR="00161DE2" w:rsidRPr="00E95B1B" w:rsidRDefault="00161DE2" w:rsidP="00161DE2">
      <w:pPr>
        <w:pStyle w:val="Normaalweb"/>
        <w:spacing w:before="0" w:beforeAutospacing="0" w:after="0" w:afterAutospacing="0"/>
        <w:rPr>
          <w:rFonts w:asciiTheme="minorHAnsi" w:hAnsiTheme="minorHAnsi"/>
          <w:color w:val="000000"/>
        </w:rPr>
      </w:pPr>
      <w:r w:rsidRPr="00E95B1B">
        <w:rPr>
          <w:rFonts w:asciiTheme="minorHAnsi" w:hAnsiTheme="minorHAnsi"/>
          <w:color w:val="000000"/>
        </w:rPr>
        <w:t>Robeco komt naar voren als een professionele en vooruitstrevende vermogensbeheerder met een sterk duurzaam profiel en een solide bestuursstructuur. Het duurzaamheidsbeleid is uitgebreid en transparant, de organisatie is goed bestuurd en er wordt adequaat gereageerd op kritiek.</w:t>
      </w:r>
    </w:p>
    <w:p w14:paraId="3539A6E6" w14:textId="77777777" w:rsidR="00161DE2" w:rsidRPr="00E95B1B" w:rsidRDefault="00161DE2" w:rsidP="00161DE2">
      <w:pPr>
        <w:pStyle w:val="Normaalweb"/>
        <w:spacing w:before="0" w:beforeAutospacing="0" w:after="0" w:afterAutospacing="0"/>
        <w:rPr>
          <w:rFonts w:asciiTheme="minorHAnsi" w:hAnsiTheme="minorHAnsi"/>
          <w:color w:val="000000"/>
        </w:rPr>
      </w:pPr>
    </w:p>
    <w:p w14:paraId="7FC48B89" w14:textId="77777777" w:rsidR="00161DE2" w:rsidRPr="00E95B1B" w:rsidRDefault="00161DE2" w:rsidP="00161DE2">
      <w:pPr>
        <w:pStyle w:val="Normaalweb"/>
        <w:spacing w:before="0" w:beforeAutospacing="0" w:after="0" w:afterAutospacing="0"/>
        <w:rPr>
          <w:rFonts w:asciiTheme="minorHAnsi" w:hAnsiTheme="minorHAnsi"/>
          <w:color w:val="000000"/>
        </w:rPr>
      </w:pPr>
      <w:r w:rsidRPr="00E95B1B">
        <w:rPr>
          <w:rFonts w:asciiTheme="minorHAnsi" w:hAnsiTheme="minorHAnsi"/>
          <w:color w:val="000000"/>
        </w:rPr>
        <w:t>De boete van de AFM in 2022 was een belangrijke les op het gebied van naleving en controle, maar de snelle opvolging laat zien dat Robeco bereid is te verbeteren. Ook de recente kritiek op zogenoemde groene fondsen werd serieus genomen en leidde tot concrete maatregelen.</w:t>
      </w:r>
    </w:p>
    <w:p w14:paraId="3229F9A3" w14:textId="77777777" w:rsidR="00161DE2" w:rsidRPr="00E95B1B" w:rsidRDefault="00161DE2" w:rsidP="00161DE2">
      <w:pPr>
        <w:pStyle w:val="Normaalweb"/>
        <w:spacing w:before="0" w:beforeAutospacing="0" w:after="0" w:afterAutospacing="0"/>
        <w:rPr>
          <w:rFonts w:asciiTheme="minorHAnsi" w:hAnsiTheme="minorHAnsi"/>
          <w:color w:val="000000"/>
        </w:rPr>
      </w:pPr>
    </w:p>
    <w:p w14:paraId="0F5AA73A" w14:textId="77777777" w:rsidR="00161DE2" w:rsidRDefault="00161DE2" w:rsidP="00161DE2">
      <w:pPr>
        <w:pStyle w:val="Normaalweb"/>
        <w:spacing w:before="0" w:beforeAutospacing="0" w:after="0" w:afterAutospacing="0"/>
        <w:rPr>
          <w:rFonts w:asciiTheme="minorHAnsi" w:hAnsiTheme="minorHAnsi"/>
          <w:color w:val="000000"/>
        </w:rPr>
      </w:pPr>
      <w:r w:rsidRPr="00E95B1B">
        <w:rPr>
          <w:rFonts w:asciiTheme="minorHAnsi" w:hAnsiTheme="minorHAnsi"/>
          <w:color w:val="000000"/>
        </w:rPr>
        <w:t>Daarmee kan worden geconcludeerd dat Robeco een betrouwbare en verantwoord opererende partij is, die duurzaamheid en integriteit stevig heeft verankerd in haar beleid en bedrijfsvoering.</w:t>
      </w:r>
    </w:p>
    <w:p w14:paraId="23CE1AB6" w14:textId="77777777" w:rsidR="00161DE2" w:rsidRDefault="00161DE2" w:rsidP="00161DE2"/>
    <w:p w14:paraId="34E38C43" w14:textId="77777777" w:rsidR="00161DE2" w:rsidRDefault="00161DE2" w:rsidP="00161DE2">
      <w:pPr>
        <w:pStyle w:val="Kop2"/>
      </w:pPr>
      <w:bookmarkStart w:id="5" w:name="_Toc213749941"/>
      <w:r>
        <w:t>Beslissingsmatrix Robeco</w:t>
      </w:r>
      <w:bookmarkEnd w:id="5"/>
    </w:p>
    <w:tbl>
      <w:tblPr>
        <w:tblStyle w:val="Tabelraster"/>
        <w:tblW w:w="0" w:type="auto"/>
        <w:tblLook w:val="04A0" w:firstRow="1" w:lastRow="0" w:firstColumn="1" w:lastColumn="0" w:noHBand="0" w:noVBand="1"/>
      </w:tblPr>
      <w:tblGrid>
        <w:gridCol w:w="2498"/>
        <w:gridCol w:w="2160"/>
        <w:gridCol w:w="2160"/>
        <w:gridCol w:w="2160"/>
      </w:tblGrid>
      <w:tr w:rsidR="00161DE2" w14:paraId="5E642401" w14:textId="77777777" w:rsidTr="00233105">
        <w:tc>
          <w:tcPr>
            <w:tcW w:w="2160" w:type="dxa"/>
          </w:tcPr>
          <w:p w14:paraId="1888BF82" w14:textId="77777777" w:rsidR="00161DE2" w:rsidRDefault="00161DE2" w:rsidP="00233105">
            <w:r>
              <w:t>Criterium</w:t>
            </w:r>
          </w:p>
        </w:tc>
        <w:tc>
          <w:tcPr>
            <w:tcW w:w="2160" w:type="dxa"/>
          </w:tcPr>
          <w:p w14:paraId="5127978C" w14:textId="77777777" w:rsidR="00161DE2" w:rsidRDefault="00161DE2" w:rsidP="00233105">
            <w:r>
              <w:t>Weging (%)</w:t>
            </w:r>
          </w:p>
        </w:tc>
        <w:tc>
          <w:tcPr>
            <w:tcW w:w="2160" w:type="dxa"/>
          </w:tcPr>
          <w:p w14:paraId="76EDADF9" w14:textId="77777777" w:rsidR="00161DE2" w:rsidRDefault="00161DE2" w:rsidP="00233105">
            <w:r>
              <w:t>Score (0–10)</w:t>
            </w:r>
          </w:p>
        </w:tc>
        <w:tc>
          <w:tcPr>
            <w:tcW w:w="2160" w:type="dxa"/>
          </w:tcPr>
          <w:p w14:paraId="17381AAD" w14:textId="77777777" w:rsidR="00161DE2" w:rsidRDefault="00161DE2" w:rsidP="00233105">
            <w:r>
              <w:t>Gewogen score</w:t>
            </w:r>
          </w:p>
        </w:tc>
      </w:tr>
      <w:tr w:rsidR="00161DE2" w14:paraId="03258DC5" w14:textId="77777777" w:rsidTr="00233105">
        <w:tc>
          <w:tcPr>
            <w:tcW w:w="2160" w:type="dxa"/>
          </w:tcPr>
          <w:p w14:paraId="42C62D4E" w14:textId="77777777" w:rsidR="00161DE2" w:rsidRDefault="00161DE2" w:rsidP="00233105">
            <w:r>
              <w:t>Duurzaamheidsbeleid</w:t>
            </w:r>
          </w:p>
        </w:tc>
        <w:tc>
          <w:tcPr>
            <w:tcW w:w="2160" w:type="dxa"/>
          </w:tcPr>
          <w:p w14:paraId="47C4D53D" w14:textId="77777777" w:rsidR="00161DE2" w:rsidRDefault="00161DE2" w:rsidP="00233105">
            <w:r>
              <w:t>40</w:t>
            </w:r>
          </w:p>
        </w:tc>
        <w:tc>
          <w:tcPr>
            <w:tcW w:w="2160" w:type="dxa"/>
          </w:tcPr>
          <w:p w14:paraId="65355F12" w14:textId="77777777" w:rsidR="00161DE2" w:rsidRDefault="00161DE2" w:rsidP="00233105">
            <w:r>
              <w:t>9</w:t>
            </w:r>
          </w:p>
        </w:tc>
        <w:tc>
          <w:tcPr>
            <w:tcW w:w="2160" w:type="dxa"/>
          </w:tcPr>
          <w:p w14:paraId="4B8D348B" w14:textId="77777777" w:rsidR="00161DE2" w:rsidRDefault="00161DE2" w:rsidP="00233105">
            <w:r>
              <w:t>3,6</w:t>
            </w:r>
          </w:p>
        </w:tc>
      </w:tr>
      <w:tr w:rsidR="00161DE2" w14:paraId="2922A1C4" w14:textId="77777777" w:rsidTr="00233105">
        <w:tc>
          <w:tcPr>
            <w:tcW w:w="2160" w:type="dxa"/>
          </w:tcPr>
          <w:p w14:paraId="52BC66CD" w14:textId="77777777" w:rsidR="00161DE2" w:rsidRDefault="00161DE2" w:rsidP="00233105">
            <w:proofErr w:type="spellStart"/>
            <w:r>
              <w:t>Governance</w:t>
            </w:r>
            <w:proofErr w:type="spellEnd"/>
          </w:p>
        </w:tc>
        <w:tc>
          <w:tcPr>
            <w:tcW w:w="2160" w:type="dxa"/>
          </w:tcPr>
          <w:p w14:paraId="20C0B512" w14:textId="77777777" w:rsidR="00161DE2" w:rsidRDefault="00161DE2" w:rsidP="00233105">
            <w:r>
              <w:t>40</w:t>
            </w:r>
          </w:p>
        </w:tc>
        <w:tc>
          <w:tcPr>
            <w:tcW w:w="2160" w:type="dxa"/>
          </w:tcPr>
          <w:p w14:paraId="1BEF41EB" w14:textId="77777777" w:rsidR="00161DE2" w:rsidRDefault="00161DE2" w:rsidP="00233105">
            <w:r>
              <w:t>8</w:t>
            </w:r>
          </w:p>
        </w:tc>
        <w:tc>
          <w:tcPr>
            <w:tcW w:w="2160" w:type="dxa"/>
          </w:tcPr>
          <w:p w14:paraId="44C087B2" w14:textId="77777777" w:rsidR="00161DE2" w:rsidRDefault="00161DE2" w:rsidP="00233105">
            <w:r>
              <w:t>3,2</w:t>
            </w:r>
          </w:p>
        </w:tc>
      </w:tr>
      <w:tr w:rsidR="00161DE2" w14:paraId="5A941C20" w14:textId="77777777" w:rsidTr="00233105">
        <w:tc>
          <w:tcPr>
            <w:tcW w:w="2160" w:type="dxa"/>
          </w:tcPr>
          <w:p w14:paraId="30A49779" w14:textId="77777777" w:rsidR="00161DE2" w:rsidRDefault="00161DE2" w:rsidP="00233105">
            <w:r>
              <w:t>Negatieve publiciteit</w:t>
            </w:r>
          </w:p>
        </w:tc>
        <w:tc>
          <w:tcPr>
            <w:tcW w:w="2160" w:type="dxa"/>
          </w:tcPr>
          <w:p w14:paraId="3553CA6F" w14:textId="77777777" w:rsidR="00161DE2" w:rsidRDefault="00161DE2" w:rsidP="00233105">
            <w:r>
              <w:t>20</w:t>
            </w:r>
          </w:p>
        </w:tc>
        <w:tc>
          <w:tcPr>
            <w:tcW w:w="2160" w:type="dxa"/>
          </w:tcPr>
          <w:p w14:paraId="6A89D71E" w14:textId="77777777" w:rsidR="00161DE2" w:rsidRDefault="00161DE2" w:rsidP="00233105">
            <w:r>
              <w:t>6</w:t>
            </w:r>
          </w:p>
        </w:tc>
        <w:tc>
          <w:tcPr>
            <w:tcW w:w="2160" w:type="dxa"/>
          </w:tcPr>
          <w:p w14:paraId="450E8F16" w14:textId="77777777" w:rsidR="00161DE2" w:rsidRDefault="00161DE2" w:rsidP="00233105">
            <w:r>
              <w:t>1,2</w:t>
            </w:r>
          </w:p>
        </w:tc>
      </w:tr>
      <w:tr w:rsidR="00161DE2" w14:paraId="505627D7" w14:textId="77777777" w:rsidTr="00233105">
        <w:tc>
          <w:tcPr>
            <w:tcW w:w="2160" w:type="dxa"/>
          </w:tcPr>
          <w:p w14:paraId="7F07EF5B" w14:textId="77777777" w:rsidR="00161DE2" w:rsidRDefault="00161DE2" w:rsidP="00233105">
            <w:r>
              <w:t>Totaal</w:t>
            </w:r>
          </w:p>
        </w:tc>
        <w:tc>
          <w:tcPr>
            <w:tcW w:w="2160" w:type="dxa"/>
          </w:tcPr>
          <w:p w14:paraId="6E76804C" w14:textId="77777777" w:rsidR="00161DE2" w:rsidRDefault="00161DE2" w:rsidP="00233105">
            <w:r>
              <w:t>100</w:t>
            </w:r>
          </w:p>
        </w:tc>
        <w:tc>
          <w:tcPr>
            <w:tcW w:w="2160" w:type="dxa"/>
          </w:tcPr>
          <w:p w14:paraId="5324E8C2" w14:textId="77777777" w:rsidR="00161DE2" w:rsidRDefault="00161DE2" w:rsidP="00233105"/>
        </w:tc>
        <w:tc>
          <w:tcPr>
            <w:tcW w:w="2160" w:type="dxa"/>
          </w:tcPr>
          <w:p w14:paraId="4A022BC6" w14:textId="77777777" w:rsidR="00161DE2" w:rsidRDefault="00161DE2" w:rsidP="00233105">
            <w:r>
              <w:t>8,0</w:t>
            </w:r>
          </w:p>
        </w:tc>
      </w:tr>
    </w:tbl>
    <w:p w14:paraId="144345F0" w14:textId="77777777" w:rsidR="00161DE2" w:rsidRDefault="00161DE2" w:rsidP="00161DE2"/>
    <w:p w14:paraId="73DED210" w14:textId="77777777" w:rsidR="00161DE2" w:rsidRPr="000A11F5" w:rsidRDefault="00161DE2" w:rsidP="00161DE2">
      <w:pPr>
        <w:pStyle w:val="Kop2"/>
        <w:rPr>
          <w:rFonts w:asciiTheme="minorHAnsi" w:hAnsiTheme="minorHAnsi"/>
        </w:rPr>
      </w:pPr>
      <w:bookmarkStart w:id="6" w:name="_Toc213749942"/>
      <w:r w:rsidRPr="000A11F5">
        <w:rPr>
          <w:rFonts w:asciiTheme="minorHAnsi" w:hAnsiTheme="minorHAnsi"/>
        </w:rPr>
        <w:lastRenderedPageBreak/>
        <w:t>Toelichting per criterium</w:t>
      </w:r>
      <w:bookmarkEnd w:id="6"/>
    </w:p>
    <w:p w14:paraId="462DB3C3" w14:textId="77777777" w:rsidR="00161DE2" w:rsidRPr="000A11F5" w:rsidRDefault="00161DE2" w:rsidP="00161DE2">
      <w:r w:rsidRPr="000A11F5">
        <w:rPr>
          <w:b/>
        </w:rPr>
        <w:t>1. Duurzaamheidsbeleid (score: 9/ weging: 40%)</w:t>
      </w:r>
      <w:r w:rsidRPr="000A11F5">
        <w:rPr>
          <w:b/>
        </w:rPr>
        <w:br/>
      </w:r>
      <w:r w:rsidRPr="000A11F5">
        <w:t xml:space="preserve">Robeco heeft een uitgebreid duurzaamheidsbeleid waarin milieu-, sociale en </w:t>
      </w:r>
      <w:proofErr w:type="spellStart"/>
      <w:r w:rsidRPr="000A11F5">
        <w:t>governancefactoren</w:t>
      </w:r>
      <w:proofErr w:type="spellEnd"/>
      <w:r w:rsidRPr="000A11F5">
        <w:t xml:space="preserve"> structureel zijn opgenomen. Het beleid sluit aan bij internationale richtlijnen, zoals de doelstellingen van de Verenigde Naties voor duurzame ontwikkeling. In beleidsstukken zoals de </w:t>
      </w:r>
      <w:proofErr w:type="spellStart"/>
      <w:r w:rsidRPr="000A11F5">
        <w:t>Sustainability</w:t>
      </w:r>
      <w:proofErr w:type="spellEnd"/>
      <w:r w:rsidRPr="000A11F5">
        <w:t xml:space="preserve"> Policy en de </w:t>
      </w:r>
      <w:proofErr w:type="spellStart"/>
      <w:r w:rsidRPr="000A11F5">
        <w:t>Stewardship</w:t>
      </w:r>
      <w:proofErr w:type="spellEnd"/>
      <w:r w:rsidRPr="000A11F5">
        <w:t xml:space="preserve"> Policy wordt uitgelegd hoe deze factoren worden geïntegreerd in alle beleggingsbeslissingen. Robeco rapporteert jaarlijks over de voortgang en heeft een duidelijk uitsluitingsbeleid voor onder andere kolen, tabak en wapens. Daarnaast voldoet Robeco aan de Europese regelgeving voor duurzame beleggingen (SFDR) en publiceert het rapportages over negatieve effecten van beleggingen op milieu en maatschappij.</w:t>
      </w:r>
    </w:p>
    <w:p w14:paraId="625614BB" w14:textId="77777777" w:rsidR="00161DE2" w:rsidRPr="000A11F5" w:rsidRDefault="00161DE2" w:rsidP="00161DE2">
      <w:r w:rsidRPr="000A11F5">
        <w:rPr>
          <w:b/>
        </w:rPr>
        <w:br/>
        <w:t xml:space="preserve">2. </w:t>
      </w:r>
      <w:proofErr w:type="spellStart"/>
      <w:r>
        <w:rPr>
          <w:b/>
        </w:rPr>
        <w:t>Governance</w:t>
      </w:r>
      <w:proofErr w:type="spellEnd"/>
      <w:r w:rsidRPr="000A11F5">
        <w:rPr>
          <w:b/>
        </w:rPr>
        <w:t xml:space="preserve"> (score: 8/ weging: 40%)</w:t>
      </w:r>
      <w:r w:rsidRPr="000A11F5">
        <w:rPr>
          <w:b/>
        </w:rPr>
        <w:br/>
      </w:r>
      <w:r w:rsidRPr="000A11F5">
        <w:t>Robeco heeft een professionele bestuursstructuur met duidelijke verantwoordelijkheden. De dagelijkse leiding ligt bij de directie onder leiding van Karin van Baardwijk, met toezicht door de raad van commissarissen. Het beloningsbeleid is evenwichtig: vaste en variabele beloningen zijn gekoppeld aan financiële resultaten en niet-financiële doelen, waaronder duurzaamheid en risicobeheersing. Daarnaast publiceert Robeco jaarlijks een geïntegreerd jaarverslag waarin zowel financiële als niet-financiële prestaties worden samengebracht, wat zorgt voor transparantie richting klanten en toezichthouders.</w:t>
      </w:r>
    </w:p>
    <w:p w14:paraId="1B66426C" w14:textId="77777777" w:rsidR="00161DE2" w:rsidRPr="000A11F5" w:rsidRDefault="00161DE2" w:rsidP="00161DE2">
      <w:r w:rsidRPr="000A11F5">
        <w:rPr>
          <w:b/>
        </w:rPr>
        <w:br/>
        <w:t xml:space="preserve">3. </w:t>
      </w:r>
      <w:r>
        <w:rPr>
          <w:b/>
        </w:rPr>
        <w:t xml:space="preserve">Bad Press </w:t>
      </w:r>
      <w:r w:rsidRPr="000A11F5">
        <w:rPr>
          <w:b/>
        </w:rPr>
        <w:t>(score: 6/ weging: 20%)</w:t>
      </w:r>
      <w:r w:rsidRPr="000A11F5">
        <w:rPr>
          <w:b/>
        </w:rPr>
        <w:br/>
      </w:r>
      <w:r w:rsidRPr="000A11F5">
        <w:t>In 2022 kreeg Robeco een boete van twee miljoen euro van de Autoriteit Financiële Markten wegens tekortschietend cliëntenonderzoek. Deze tekortkomingen zijn snel hersteld, en de AFM bevestigde enkele maanden later dat Robeco voldeed aan alle eisen. Daarnaast was er in 2025 kritiek in internationale media over duurzame fondsen die nog investeringen in fossiele bedrijven aanhielden. Robeco reageerde hierop door fondsnamen aan te passen en de informatie over duurzaamheid te verduidelijken. Hoewel deze incidenten invloed hadden op de reputatie, is Robeco er zorgvuldig mee omgegaan en heeft het verbetermaatregelen doorgevoerd.</w:t>
      </w:r>
    </w:p>
    <w:p w14:paraId="3D0EDFB5" w14:textId="77777777" w:rsidR="00161DE2" w:rsidRDefault="00161DE2" w:rsidP="00161DE2"/>
    <w:p w14:paraId="7EA8FE9D" w14:textId="77777777" w:rsidR="00161DE2" w:rsidRDefault="00161DE2" w:rsidP="00161DE2">
      <w:pPr>
        <w:pStyle w:val="Kop1"/>
      </w:pPr>
      <w:bookmarkStart w:id="7" w:name="_Toc213749943"/>
      <w:r w:rsidRPr="007516EC">
        <w:t>BNP Paribas Asset Management</w:t>
      </w:r>
      <w:bookmarkEnd w:id="7"/>
    </w:p>
    <w:p w14:paraId="343CC166" w14:textId="77777777" w:rsidR="00161DE2" w:rsidRPr="00994CB0" w:rsidRDefault="00161DE2" w:rsidP="00161DE2">
      <w:pPr>
        <w:pStyle w:val="Kop2"/>
        <w:spacing w:before="0" w:after="0"/>
        <w:rPr>
          <w:rFonts w:asciiTheme="minorHAnsi" w:hAnsiTheme="minorHAnsi"/>
        </w:rPr>
      </w:pPr>
      <w:bookmarkStart w:id="8" w:name="_Toc213749944"/>
      <w:r w:rsidRPr="00994CB0">
        <w:rPr>
          <w:rFonts w:asciiTheme="minorHAnsi" w:hAnsiTheme="minorHAnsi"/>
        </w:rPr>
        <w:t>1. Duurzaamheidsbeleid</w:t>
      </w:r>
      <w:bookmarkEnd w:id="8"/>
    </w:p>
    <w:p w14:paraId="19D44358" w14:textId="77777777" w:rsidR="00161DE2" w:rsidRPr="00994CB0" w:rsidRDefault="00161DE2" w:rsidP="00161DE2">
      <w:r w:rsidRPr="00994CB0">
        <w:t xml:space="preserve">BNP Paribas Asset Management (BNPP AM) heeft een uitgebreid duurzaamheidsbeleid waarin milieu-, sociale en bestuurlijke factoren structureel zijn opgenomen in het beleggingsproces. In de publicatie Global </w:t>
      </w:r>
      <w:proofErr w:type="spellStart"/>
      <w:r w:rsidRPr="00994CB0">
        <w:t>Sustainability</w:t>
      </w:r>
      <w:proofErr w:type="spellEnd"/>
      <w:r w:rsidRPr="00994CB0">
        <w:t xml:space="preserve"> </w:t>
      </w:r>
      <w:proofErr w:type="spellStart"/>
      <w:r w:rsidRPr="00994CB0">
        <w:t>Strategy</w:t>
      </w:r>
      <w:proofErr w:type="spellEnd"/>
      <w:r w:rsidRPr="00994CB0">
        <w:t xml:space="preserve"> 2023–2025 wordt </w:t>
      </w:r>
      <w:r w:rsidRPr="00994CB0">
        <w:lastRenderedPageBreak/>
        <w:t xml:space="preserve">beschreven dat duurzaamheid de kern vormt van de beleggingsfilosofie en van alle processen binnen de organisatie (BNP Paribas Asset Management, 2023a). De onderneming beschikt al sinds 2002 over een aparte afdeling voor duurzaamheidsanalyse en was in 2006 medeondertekenaar van de Principes voor Verantwoord Beleggen van de Verenigde Naties. </w:t>
      </w:r>
    </w:p>
    <w:p w14:paraId="7F283FE9" w14:textId="77777777" w:rsidR="00161DE2" w:rsidRDefault="00161DE2" w:rsidP="00161DE2"/>
    <w:p w14:paraId="4628CFA5" w14:textId="77777777" w:rsidR="00161DE2" w:rsidRPr="00994CB0" w:rsidRDefault="00161DE2" w:rsidP="00161DE2">
      <w:r w:rsidRPr="00994CB0">
        <w:t xml:space="preserve">In de </w:t>
      </w:r>
      <w:proofErr w:type="spellStart"/>
      <w:r w:rsidRPr="00994CB0">
        <w:t>Responsible</w:t>
      </w:r>
      <w:proofErr w:type="spellEnd"/>
      <w:r w:rsidRPr="00994CB0">
        <w:t xml:space="preserve"> Business </w:t>
      </w:r>
      <w:proofErr w:type="spellStart"/>
      <w:r w:rsidRPr="00994CB0">
        <w:t>Conduct</w:t>
      </w:r>
      <w:proofErr w:type="spellEnd"/>
      <w:r w:rsidRPr="00994CB0">
        <w:t xml:space="preserve"> Policy staan duidelijke uitsluitingen opgenomen, waaronder bedrijven die betrokken zijn bij de productie van tabak, kolen en controversiële wapens (BNP Paribas Asset Management, 2024b). Daarnaast hanteert de organisatie een intern beoordelingssysteem waarmee ondernemingen worden geëvalueerd op hun prestaties op het gebied van milieu, maatschappij en goed bestuur. </w:t>
      </w:r>
    </w:p>
    <w:p w14:paraId="26B2CC7A" w14:textId="77777777" w:rsidR="00161DE2" w:rsidRDefault="00161DE2" w:rsidP="00161DE2"/>
    <w:p w14:paraId="345B2E80" w14:textId="77777777" w:rsidR="00161DE2" w:rsidRPr="00994CB0" w:rsidRDefault="00161DE2" w:rsidP="00161DE2">
      <w:r w:rsidRPr="00994CB0">
        <w:t xml:space="preserve">Volgens de Europese regelgeving voor duurzame beleggingen (SFDR) valt ongeveer 90 procent van de beleggingsfondsen van BNPP AM onder categorie 8 of 9, wat inhoudt dat deze fondsen duurzame kenmerken bevorderen of een duurzaam doel nastreven (BNP Paribas Asset Management, 2024a). Ook in het geïntegreerde jaarverslag van de BNP Paribas-groep is te zien dat duurzaamheid en maatschappelijke verantwoordelijkheid een centrale rol spelen in de strategie van de gehele organisatie (BNP Paribas Group, 2023a). BNPP AM voert daarnaast actief overleg met ondernemingen waarin zij belegt. In 2023 werden meer dan 1 900 gesprekken gevoerd over thema’s als klimaat, biodiversiteit en mensenrechten (BNP Paribas Asset Management, 2024a). </w:t>
      </w:r>
    </w:p>
    <w:p w14:paraId="2913B799" w14:textId="77777777" w:rsidR="00161DE2" w:rsidRDefault="00161DE2" w:rsidP="00161DE2"/>
    <w:p w14:paraId="74772CEA" w14:textId="77777777" w:rsidR="00161DE2" w:rsidRDefault="00161DE2" w:rsidP="00161DE2">
      <w:r w:rsidRPr="00994CB0">
        <w:t xml:space="preserve">Het duurzaamheidsbeleid van BNPP AM is goed vastgelegd, transparant en breed toegepast binnen de organisatie. Er is sprake van duidelijke doelstellingen en een sterke verbinding tussen beleid en uitvoering. </w:t>
      </w:r>
    </w:p>
    <w:p w14:paraId="1B030006" w14:textId="77777777" w:rsidR="00161DE2" w:rsidRPr="00994CB0" w:rsidRDefault="00161DE2" w:rsidP="00161DE2"/>
    <w:p w14:paraId="5D24B920" w14:textId="77777777" w:rsidR="00161DE2" w:rsidRPr="00994CB0" w:rsidRDefault="00161DE2" w:rsidP="00161DE2">
      <w:pPr>
        <w:pStyle w:val="Kop2"/>
        <w:spacing w:before="0" w:after="0"/>
        <w:rPr>
          <w:rFonts w:asciiTheme="minorHAnsi" w:hAnsiTheme="minorHAnsi"/>
        </w:rPr>
      </w:pPr>
      <w:bookmarkStart w:id="9" w:name="_Toc213749945"/>
      <w:r w:rsidRPr="00994CB0">
        <w:rPr>
          <w:rFonts w:asciiTheme="minorHAnsi" w:hAnsiTheme="minorHAnsi"/>
        </w:rPr>
        <w:t xml:space="preserve">2. </w:t>
      </w:r>
      <w:proofErr w:type="spellStart"/>
      <w:r w:rsidRPr="00994CB0">
        <w:rPr>
          <w:rFonts w:asciiTheme="minorHAnsi" w:hAnsiTheme="minorHAnsi"/>
        </w:rPr>
        <w:t>Governance</w:t>
      </w:r>
      <w:bookmarkEnd w:id="9"/>
      <w:proofErr w:type="spellEnd"/>
    </w:p>
    <w:p w14:paraId="64DEDD62" w14:textId="77777777" w:rsidR="00161DE2" w:rsidRPr="00994CB0" w:rsidRDefault="00161DE2" w:rsidP="00161DE2">
      <w:r w:rsidRPr="00994CB0">
        <w:t xml:space="preserve">BNPP AM beschikt over een duidelijke bestuursstructuur en een transparant beloningsbeleid. De onderneming maakt deel uit van de BNP Paribas-groep, maar heeft een eigen directie en specifieke beleidsdocumenten. In de </w:t>
      </w:r>
      <w:proofErr w:type="spellStart"/>
      <w:r w:rsidRPr="00994CB0">
        <w:t>Remuneration</w:t>
      </w:r>
      <w:proofErr w:type="spellEnd"/>
      <w:r w:rsidRPr="00994CB0">
        <w:t xml:space="preserve"> Policy staat dat de vaste en variabele beloningen afhankelijk zijn van zowel financiële als niet-financiële doelstellingen, zoals naleving van regelgeving, risicobeheersing en duurzaamheid (BNP Paribas Asset Management, 2024c). </w:t>
      </w:r>
    </w:p>
    <w:p w14:paraId="54DFF3DC" w14:textId="77777777" w:rsidR="00161DE2" w:rsidRDefault="00161DE2" w:rsidP="00161DE2"/>
    <w:p w14:paraId="2E9B110B" w14:textId="77777777" w:rsidR="00161DE2" w:rsidRPr="00994CB0" w:rsidRDefault="00161DE2" w:rsidP="00161DE2">
      <w:r w:rsidRPr="00994CB0">
        <w:t xml:space="preserve">De beloningen zijn afgestemd op Europese richtlijnen (CRD V en UCITS V) en kunnen worden aangepast of ingetrokken als niet aan de voorwaarden wordt voldaan. Dit </w:t>
      </w:r>
      <w:r w:rsidRPr="00994CB0">
        <w:lastRenderedPageBreak/>
        <w:t xml:space="preserve">voorkomt dat er te veel nadruk ligt op kortetermijnwinsten. In het Universal </w:t>
      </w:r>
      <w:proofErr w:type="spellStart"/>
      <w:r w:rsidRPr="00994CB0">
        <w:t>Registration</w:t>
      </w:r>
      <w:proofErr w:type="spellEnd"/>
      <w:r w:rsidRPr="00994CB0">
        <w:t xml:space="preserve"> Document &amp; </w:t>
      </w:r>
      <w:proofErr w:type="spellStart"/>
      <w:r w:rsidRPr="00994CB0">
        <w:t>Annual</w:t>
      </w:r>
      <w:proofErr w:type="spellEnd"/>
      <w:r w:rsidRPr="00994CB0">
        <w:t xml:space="preserve"> Financial Report 2023 wordt daarnaast uitgelegd hoe beloningen, risicobeheer en interne controle binnen de groep zijn ingericht (BNP Paribas Group, 2023b). </w:t>
      </w:r>
    </w:p>
    <w:p w14:paraId="0DE9AFD6" w14:textId="77777777" w:rsidR="00161DE2" w:rsidRDefault="00161DE2" w:rsidP="00161DE2"/>
    <w:p w14:paraId="590B5A3D" w14:textId="77777777" w:rsidR="00161DE2" w:rsidRPr="00994CB0" w:rsidRDefault="00161DE2" w:rsidP="00161DE2">
      <w:r w:rsidRPr="00994CB0">
        <w:t xml:space="preserve">De onderneming publiceert jaarlijks een </w:t>
      </w:r>
      <w:proofErr w:type="spellStart"/>
      <w:r w:rsidRPr="00994CB0">
        <w:t>Sustainability</w:t>
      </w:r>
      <w:proofErr w:type="spellEnd"/>
      <w:r w:rsidRPr="00994CB0">
        <w:t xml:space="preserve"> Report en </w:t>
      </w:r>
      <w:proofErr w:type="spellStart"/>
      <w:r w:rsidRPr="00994CB0">
        <w:t>Stewardship</w:t>
      </w:r>
      <w:proofErr w:type="spellEnd"/>
      <w:r w:rsidRPr="00994CB0">
        <w:t xml:space="preserve"> Report, waarin de voortgang op het gebied van duurzaamheid, bestuur en risicobeheersing wordt toegelicht (BNP Paribas Asset Management, 2024a). Door de combinatie van deze rapportages en de transparante </w:t>
      </w:r>
      <w:proofErr w:type="spellStart"/>
      <w:r w:rsidRPr="00994CB0">
        <w:t>governance</w:t>
      </w:r>
      <w:proofErr w:type="spellEnd"/>
      <w:r w:rsidRPr="00994CB0">
        <w:t xml:space="preserve">-structuur is het beleid duidelijk en betrouwbaar. </w:t>
      </w:r>
    </w:p>
    <w:p w14:paraId="2391CA87" w14:textId="77777777" w:rsidR="00161DE2" w:rsidRPr="00994CB0" w:rsidRDefault="00161DE2" w:rsidP="00161DE2">
      <w:pPr>
        <w:pStyle w:val="Kop2"/>
      </w:pPr>
      <w:bookmarkStart w:id="10" w:name="_Toc213749946"/>
      <w:r w:rsidRPr="00994CB0">
        <w:t xml:space="preserve">3. Bad </w:t>
      </w:r>
      <w:r>
        <w:t>P</w:t>
      </w:r>
      <w:r w:rsidRPr="00994CB0">
        <w:t>ress</w:t>
      </w:r>
      <w:bookmarkEnd w:id="10"/>
    </w:p>
    <w:p w14:paraId="2B1353E4" w14:textId="77777777" w:rsidR="00161DE2" w:rsidRPr="00994CB0" w:rsidRDefault="00161DE2" w:rsidP="00161DE2">
      <w:r w:rsidRPr="00994CB0">
        <w:t>BNPP AM heeft de afgelopen jaren beperkte negatieve publiciteit gehad. In 2021 kreeg de organisatie een boete van de Oostenrijkse financiële toezichthouder wegens het te laat melden van een overschrijding van aandeelhoudersbelangen (</w:t>
      </w:r>
      <w:proofErr w:type="spellStart"/>
      <w:r w:rsidRPr="00994CB0">
        <w:t>Violation</w:t>
      </w:r>
      <w:proofErr w:type="spellEnd"/>
      <w:r w:rsidRPr="00994CB0">
        <w:t xml:space="preserve"> </w:t>
      </w:r>
      <w:proofErr w:type="spellStart"/>
      <w:r w:rsidRPr="00994CB0">
        <w:t>Tracker</w:t>
      </w:r>
      <w:proofErr w:type="spellEnd"/>
      <w:r w:rsidRPr="00994CB0">
        <w:t xml:space="preserve"> Global, 2021). Hoewel dit een administratieve overtreding betrof, benadrukt het </w:t>
      </w:r>
      <w:proofErr w:type="spellStart"/>
      <w:r w:rsidRPr="00994CB0">
        <w:t>het</w:t>
      </w:r>
      <w:proofErr w:type="spellEnd"/>
      <w:r w:rsidRPr="00994CB0">
        <w:t xml:space="preserve"> belang van zorgvuldige naleving van regelgeving. </w:t>
      </w:r>
    </w:p>
    <w:p w14:paraId="1F862A2C" w14:textId="77777777" w:rsidR="00161DE2" w:rsidRDefault="00161DE2" w:rsidP="00161DE2"/>
    <w:p w14:paraId="790C9360" w14:textId="77777777" w:rsidR="00161DE2" w:rsidRPr="00994CB0" w:rsidRDefault="00161DE2" w:rsidP="00161DE2">
      <w:r w:rsidRPr="00994CB0">
        <w:t xml:space="preserve">In 2024 meldde Reuters dat BNPP AM geen nieuwe obligaties meer zal opnemen van olie- en gasbedrijven (Reuters, 2024). Dit besluit werd positief ontvangen door milieu- en duurzaamheidsorganisaties, maar leidde ook tot vragen over eerdere blootstelling aan fossiele beleggingen. In reactie daarop heeft BNPP AM haar beleid verder aangescherpt en verduidelijkt. </w:t>
      </w:r>
    </w:p>
    <w:p w14:paraId="727ECF52" w14:textId="77777777" w:rsidR="00161DE2" w:rsidRDefault="00161DE2" w:rsidP="00161DE2"/>
    <w:p w14:paraId="05E469F7" w14:textId="77777777" w:rsidR="00161DE2" w:rsidRPr="00994CB0" w:rsidRDefault="00161DE2" w:rsidP="00161DE2">
      <w:r w:rsidRPr="00994CB0">
        <w:t xml:space="preserve">Daarnaast benadrukt het jaarverslag van 2023 dat reputatie, integriteit en naleving belangrijke onderdelen zijn van het risicobeheer binnen de organisatie (BNP Paribas Group, 2023b). De onderneming reageert zorgvuldig op kritiek en past beleid waar nodig aan. </w:t>
      </w:r>
    </w:p>
    <w:p w14:paraId="26C1CEDF" w14:textId="77777777" w:rsidR="00161DE2" w:rsidRPr="00994CB0" w:rsidRDefault="00161DE2" w:rsidP="00161DE2">
      <w:pPr>
        <w:pStyle w:val="Kop2"/>
      </w:pPr>
      <w:bookmarkStart w:id="11" w:name="_Toc213749947"/>
      <w:r w:rsidRPr="00994CB0">
        <w:t>Conclusie</w:t>
      </w:r>
      <w:bookmarkEnd w:id="11"/>
    </w:p>
    <w:p w14:paraId="742A05F1" w14:textId="77777777" w:rsidR="00161DE2" w:rsidRPr="00994CB0" w:rsidRDefault="00161DE2" w:rsidP="00161DE2">
      <w:r w:rsidRPr="00994CB0">
        <w:t xml:space="preserve">BNP Paribas Asset Management behaalt een totaalscore van 7,8 en komt naar voren als een professionele en verantwoord opererende vermogensbeheerder. Het duurzaamheidsbeleid is goed uitgewerkt en verankerd in de strategie, de bestuursstructuur is helder en transparant, en de beloningsregeling is evenwichtig. De organisatie publiceert regelmatig rapportages die inzicht geven in beleid, duurzaamheid en risicobeheersing. Hoewel er enkele reputatie-incidenten zijn geweest, is daar adequaat op gereageerd. BNPP AM kan daarom worden gezien als een betrouwbare </w:t>
      </w:r>
      <w:r w:rsidRPr="00994CB0">
        <w:lastRenderedPageBreak/>
        <w:t>vermogensbeheerder voor partijen die waarde hechten aan duurzaamheid en verantwoord ondernemerschap.</w:t>
      </w:r>
    </w:p>
    <w:p w14:paraId="0B32F2F4" w14:textId="77777777" w:rsidR="00161DE2" w:rsidRPr="00994CB0" w:rsidRDefault="00161DE2" w:rsidP="00161DE2">
      <w:pPr>
        <w:pStyle w:val="Kop2"/>
      </w:pPr>
      <w:bookmarkStart w:id="12" w:name="_Toc213749948"/>
      <w:r w:rsidRPr="00994CB0">
        <w:t>Beslissingsmatrix BNP Paribas Asset Management</w:t>
      </w:r>
      <w:bookmarkEnd w:id="12"/>
    </w:p>
    <w:tbl>
      <w:tblPr>
        <w:tblStyle w:val="Tabelraster"/>
        <w:tblW w:w="0" w:type="auto"/>
        <w:tblLook w:val="04A0" w:firstRow="1" w:lastRow="0" w:firstColumn="1" w:lastColumn="0" w:noHBand="0" w:noVBand="1"/>
      </w:tblPr>
      <w:tblGrid>
        <w:gridCol w:w="2498"/>
        <w:gridCol w:w="2160"/>
        <w:gridCol w:w="2160"/>
        <w:gridCol w:w="2160"/>
      </w:tblGrid>
      <w:tr w:rsidR="00161DE2" w:rsidRPr="00994CB0" w14:paraId="480633CF" w14:textId="77777777" w:rsidTr="00233105">
        <w:tc>
          <w:tcPr>
            <w:tcW w:w="2160" w:type="dxa"/>
          </w:tcPr>
          <w:p w14:paraId="3C9F2C9E" w14:textId="77777777" w:rsidR="00161DE2" w:rsidRPr="00994CB0" w:rsidRDefault="00161DE2" w:rsidP="00233105">
            <w:r w:rsidRPr="00994CB0">
              <w:t>Criterium</w:t>
            </w:r>
          </w:p>
        </w:tc>
        <w:tc>
          <w:tcPr>
            <w:tcW w:w="2160" w:type="dxa"/>
          </w:tcPr>
          <w:p w14:paraId="417F8928" w14:textId="77777777" w:rsidR="00161DE2" w:rsidRPr="00994CB0" w:rsidRDefault="00161DE2" w:rsidP="00233105">
            <w:r w:rsidRPr="00994CB0">
              <w:t>Weging (%)</w:t>
            </w:r>
          </w:p>
        </w:tc>
        <w:tc>
          <w:tcPr>
            <w:tcW w:w="2160" w:type="dxa"/>
          </w:tcPr>
          <w:p w14:paraId="54BDA29D" w14:textId="77777777" w:rsidR="00161DE2" w:rsidRPr="00994CB0" w:rsidRDefault="00161DE2" w:rsidP="00233105">
            <w:r w:rsidRPr="00994CB0">
              <w:t>Score (0–10)</w:t>
            </w:r>
          </w:p>
        </w:tc>
        <w:tc>
          <w:tcPr>
            <w:tcW w:w="2160" w:type="dxa"/>
          </w:tcPr>
          <w:p w14:paraId="0A144E22" w14:textId="77777777" w:rsidR="00161DE2" w:rsidRPr="00994CB0" w:rsidRDefault="00161DE2" w:rsidP="00233105">
            <w:r w:rsidRPr="00994CB0">
              <w:t>Gewogen score</w:t>
            </w:r>
          </w:p>
        </w:tc>
      </w:tr>
      <w:tr w:rsidR="00161DE2" w:rsidRPr="00994CB0" w14:paraId="3DD7AFE4" w14:textId="77777777" w:rsidTr="00233105">
        <w:tc>
          <w:tcPr>
            <w:tcW w:w="2160" w:type="dxa"/>
          </w:tcPr>
          <w:p w14:paraId="30FE74A7" w14:textId="77777777" w:rsidR="00161DE2" w:rsidRPr="00994CB0" w:rsidRDefault="00161DE2" w:rsidP="00233105">
            <w:r w:rsidRPr="00994CB0">
              <w:t>Duurzaamheidsbeleid</w:t>
            </w:r>
          </w:p>
        </w:tc>
        <w:tc>
          <w:tcPr>
            <w:tcW w:w="2160" w:type="dxa"/>
          </w:tcPr>
          <w:p w14:paraId="2CCDE616" w14:textId="77777777" w:rsidR="00161DE2" w:rsidRPr="00994CB0" w:rsidRDefault="00161DE2" w:rsidP="00233105">
            <w:r w:rsidRPr="00994CB0">
              <w:t>40</w:t>
            </w:r>
          </w:p>
        </w:tc>
        <w:tc>
          <w:tcPr>
            <w:tcW w:w="2160" w:type="dxa"/>
          </w:tcPr>
          <w:p w14:paraId="7200B567" w14:textId="77777777" w:rsidR="00161DE2" w:rsidRPr="00994CB0" w:rsidRDefault="00161DE2" w:rsidP="00233105">
            <w:r w:rsidRPr="00994CB0">
              <w:t>8</w:t>
            </w:r>
          </w:p>
        </w:tc>
        <w:tc>
          <w:tcPr>
            <w:tcW w:w="2160" w:type="dxa"/>
          </w:tcPr>
          <w:p w14:paraId="203C2156" w14:textId="77777777" w:rsidR="00161DE2" w:rsidRPr="00994CB0" w:rsidRDefault="00161DE2" w:rsidP="00233105">
            <w:r w:rsidRPr="00994CB0">
              <w:t>3,2</w:t>
            </w:r>
          </w:p>
        </w:tc>
      </w:tr>
      <w:tr w:rsidR="00161DE2" w:rsidRPr="00994CB0" w14:paraId="63AD1B2B" w14:textId="77777777" w:rsidTr="00233105">
        <w:tc>
          <w:tcPr>
            <w:tcW w:w="2160" w:type="dxa"/>
          </w:tcPr>
          <w:p w14:paraId="16839AE4" w14:textId="77777777" w:rsidR="00161DE2" w:rsidRPr="00994CB0" w:rsidRDefault="00161DE2" w:rsidP="00233105">
            <w:proofErr w:type="spellStart"/>
            <w:r w:rsidRPr="00994CB0">
              <w:t>Governance</w:t>
            </w:r>
            <w:proofErr w:type="spellEnd"/>
          </w:p>
        </w:tc>
        <w:tc>
          <w:tcPr>
            <w:tcW w:w="2160" w:type="dxa"/>
          </w:tcPr>
          <w:p w14:paraId="51D9E73B" w14:textId="77777777" w:rsidR="00161DE2" w:rsidRPr="00994CB0" w:rsidRDefault="00161DE2" w:rsidP="00233105">
            <w:r w:rsidRPr="00994CB0">
              <w:t>40</w:t>
            </w:r>
          </w:p>
        </w:tc>
        <w:tc>
          <w:tcPr>
            <w:tcW w:w="2160" w:type="dxa"/>
          </w:tcPr>
          <w:p w14:paraId="2F88AA6F" w14:textId="77777777" w:rsidR="00161DE2" w:rsidRPr="00994CB0" w:rsidRDefault="00161DE2" w:rsidP="00233105">
            <w:r w:rsidRPr="00994CB0">
              <w:t>8</w:t>
            </w:r>
          </w:p>
        </w:tc>
        <w:tc>
          <w:tcPr>
            <w:tcW w:w="2160" w:type="dxa"/>
          </w:tcPr>
          <w:p w14:paraId="28FF42A9" w14:textId="77777777" w:rsidR="00161DE2" w:rsidRPr="00994CB0" w:rsidRDefault="00161DE2" w:rsidP="00233105">
            <w:r w:rsidRPr="00994CB0">
              <w:t>3,2</w:t>
            </w:r>
          </w:p>
        </w:tc>
      </w:tr>
      <w:tr w:rsidR="00161DE2" w:rsidRPr="00994CB0" w14:paraId="2F635FF0" w14:textId="77777777" w:rsidTr="00233105">
        <w:tc>
          <w:tcPr>
            <w:tcW w:w="2160" w:type="dxa"/>
          </w:tcPr>
          <w:p w14:paraId="02F82F4B" w14:textId="77777777" w:rsidR="00161DE2" w:rsidRPr="00994CB0" w:rsidRDefault="00161DE2" w:rsidP="00233105">
            <w:r w:rsidRPr="00994CB0">
              <w:t xml:space="preserve">Bad </w:t>
            </w:r>
            <w:proofErr w:type="spellStart"/>
            <w:r w:rsidRPr="00994CB0">
              <w:t>press</w:t>
            </w:r>
            <w:proofErr w:type="spellEnd"/>
          </w:p>
        </w:tc>
        <w:tc>
          <w:tcPr>
            <w:tcW w:w="2160" w:type="dxa"/>
          </w:tcPr>
          <w:p w14:paraId="063B0E97" w14:textId="77777777" w:rsidR="00161DE2" w:rsidRPr="00994CB0" w:rsidRDefault="00161DE2" w:rsidP="00233105">
            <w:r w:rsidRPr="00994CB0">
              <w:t>20</w:t>
            </w:r>
          </w:p>
        </w:tc>
        <w:tc>
          <w:tcPr>
            <w:tcW w:w="2160" w:type="dxa"/>
          </w:tcPr>
          <w:p w14:paraId="22AB6F22" w14:textId="77777777" w:rsidR="00161DE2" w:rsidRPr="00994CB0" w:rsidRDefault="00161DE2" w:rsidP="00233105">
            <w:r w:rsidRPr="00994CB0">
              <w:t>7</w:t>
            </w:r>
          </w:p>
        </w:tc>
        <w:tc>
          <w:tcPr>
            <w:tcW w:w="2160" w:type="dxa"/>
          </w:tcPr>
          <w:p w14:paraId="25D31F45" w14:textId="77777777" w:rsidR="00161DE2" w:rsidRPr="00994CB0" w:rsidRDefault="00161DE2" w:rsidP="00233105">
            <w:r w:rsidRPr="00994CB0">
              <w:t>1,4</w:t>
            </w:r>
          </w:p>
        </w:tc>
      </w:tr>
      <w:tr w:rsidR="00161DE2" w:rsidRPr="00994CB0" w14:paraId="16C7FC39" w14:textId="77777777" w:rsidTr="00233105">
        <w:tc>
          <w:tcPr>
            <w:tcW w:w="2160" w:type="dxa"/>
          </w:tcPr>
          <w:p w14:paraId="12644F6C" w14:textId="77777777" w:rsidR="00161DE2" w:rsidRPr="00994CB0" w:rsidRDefault="00161DE2" w:rsidP="00233105">
            <w:r w:rsidRPr="00994CB0">
              <w:t>Totaal</w:t>
            </w:r>
          </w:p>
        </w:tc>
        <w:tc>
          <w:tcPr>
            <w:tcW w:w="2160" w:type="dxa"/>
          </w:tcPr>
          <w:p w14:paraId="2D479A2B" w14:textId="77777777" w:rsidR="00161DE2" w:rsidRPr="00994CB0" w:rsidRDefault="00161DE2" w:rsidP="00233105">
            <w:r w:rsidRPr="00994CB0">
              <w:t>100</w:t>
            </w:r>
          </w:p>
        </w:tc>
        <w:tc>
          <w:tcPr>
            <w:tcW w:w="2160" w:type="dxa"/>
          </w:tcPr>
          <w:p w14:paraId="2EF24118" w14:textId="77777777" w:rsidR="00161DE2" w:rsidRPr="00994CB0" w:rsidRDefault="00161DE2" w:rsidP="00233105"/>
        </w:tc>
        <w:tc>
          <w:tcPr>
            <w:tcW w:w="2160" w:type="dxa"/>
          </w:tcPr>
          <w:p w14:paraId="1EB81345" w14:textId="77777777" w:rsidR="00161DE2" w:rsidRPr="00994CB0" w:rsidRDefault="00161DE2" w:rsidP="00233105">
            <w:r w:rsidRPr="00994CB0">
              <w:t>7,8</w:t>
            </w:r>
          </w:p>
        </w:tc>
      </w:tr>
    </w:tbl>
    <w:p w14:paraId="1123D0BE" w14:textId="77777777" w:rsidR="00161DE2" w:rsidRDefault="00161DE2" w:rsidP="00161DE2">
      <w:pPr>
        <w:pStyle w:val="Kop2"/>
        <w:spacing w:before="0" w:after="0"/>
        <w:rPr>
          <w:rFonts w:asciiTheme="minorHAnsi" w:hAnsiTheme="minorHAnsi"/>
        </w:rPr>
      </w:pPr>
    </w:p>
    <w:p w14:paraId="260BC36F" w14:textId="77777777" w:rsidR="00161DE2" w:rsidRPr="00994CB0" w:rsidRDefault="00161DE2" w:rsidP="00161DE2">
      <w:pPr>
        <w:pStyle w:val="Kop2"/>
      </w:pPr>
      <w:bookmarkStart w:id="13" w:name="_Toc213749949"/>
      <w:r w:rsidRPr="00994CB0">
        <w:t>Toelichting per criterium</w:t>
      </w:r>
      <w:bookmarkEnd w:id="13"/>
    </w:p>
    <w:p w14:paraId="2C553036" w14:textId="77777777" w:rsidR="00161DE2" w:rsidRPr="00994CB0" w:rsidRDefault="00161DE2" w:rsidP="00161DE2">
      <w:r w:rsidRPr="00994CB0">
        <w:rPr>
          <w:b/>
          <w:bCs/>
        </w:rPr>
        <w:t>Duurzaamheidsbeleid (8/10):</w:t>
      </w:r>
      <w:r w:rsidRPr="00994CB0">
        <w:t xml:space="preserve"> BNPP AM heeft een duidelijke strategie en voert deze actief uit. Er wordt gewerkt met uitsluitingen, betrokkenheid bij ondernemingen en heldere rapportages.</w:t>
      </w:r>
    </w:p>
    <w:p w14:paraId="5B275042" w14:textId="77777777" w:rsidR="00161DE2" w:rsidRDefault="00161DE2" w:rsidP="00161DE2"/>
    <w:p w14:paraId="0E3EE4DC" w14:textId="77777777" w:rsidR="00161DE2" w:rsidRPr="00994CB0" w:rsidRDefault="00161DE2" w:rsidP="00161DE2">
      <w:proofErr w:type="spellStart"/>
      <w:r w:rsidRPr="00994CB0">
        <w:rPr>
          <w:b/>
          <w:bCs/>
        </w:rPr>
        <w:t>Governance</w:t>
      </w:r>
      <w:proofErr w:type="spellEnd"/>
      <w:r w:rsidRPr="00994CB0">
        <w:rPr>
          <w:b/>
          <w:bCs/>
        </w:rPr>
        <w:t xml:space="preserve"> (8/10):</w:t>
      </w:r>
      <w:r w:rsidRPr="00994CB0">
        <w:t xml:space="preserve"> De bestuursstructuur en het beloningsbeleid zijn transparant en goed afgestemd op duurzaamheid en risicobeheersing.</w:t>
      </w:r>
    </w:p>
    <w:p w14:paraId="1DDE84DF" w14:textId="77777777" w:rsidR="00161DE2" w:rsidRDefault="00161DE2" w:rsidP="00161DE2"/>
    <w:p w14:paraId="7C9C1448" w14:textId="77777777" w:rsidR="00161DE2" w:rsidRDefault="00161DE2" w:rsidP="00161DE2">
      <w:r w:rsidRPr="00994CB0">
        <w:rPr>
          <w:b/>
          <w:bCs/>
        </w:rPr>
        <w:t xml:space="preserve">Bad </w:t>
      </w:r>
      <w:proofErr w:type="spellStart"/>
      <w:r w:rsidRPr="00994CB0">
        <w:rPr>
          <w:b/>
          <w:bCs/>
        </w:rPr>
        <w:t>press</w:t>
      </w:r>
      <w:proofErr w:type="spellEnd"/>
      <w:r w:rsidRPr="00994CB0">
        <w:rPr>
          <w:b/>
          <w:bCs/>
        </w:rPr>
        <w:t xml:space="preserve"> (7/10):</w:t>
      </w:r>
      <w:r w:rsidRPr="00994CB0">
        <w:t xml:space="preserve"> Er waren enkele incidenten, maar BNPP AM heeft hier adequaat op</w:t>
      </w:r>
      <w:r>
        <w:t xml:space="preserve"> </w:t>
      </w:r>
      <w:r w:rsidRPr="00994CB0">
        <w:t>gereageerd door beleid aan te scherpen en transparanter te communiceren.</w:t>
      </w:r>
    </w:p>
    <w:p w14:paraId="0AC313FB" w14:textId="77777777" w:rsidR="00161DE2" w:rsidRPr="007516EC" w:rsidRDefault="00161DE2" w:rsidP="00161DE2">
      <w:pPr>
        <w:pStyle w:val="Kop1"/>
      </w:pPr>
      <w:bookmarkStart w:id="14" w:name="_Toc213749950"/>
      <w:r w:rsidRPr="007516EC">
        <w:t>UBS Asset Management</w:t>
      </w:r>
      <w:bookmarkEnd w:id="14"/>
    </w:p>
    <w:p w14:paraId="78E2478A" w14:textId="77777777" w:rsidR="00161DE2" w:rsidRPr="00966214" w:rsidRDefault="00161DE2" w:rsidP="00161DE2">
      <w:pPr>
        <w:pStyle w:val="Kop2"/>
      </w:pPr>
      <w:bookmarkStart w:id="15" w:name="_Toc213749951"/>
      <w:r w:rsidRPr="00966214">
        <w:t>1. Duurzaamheidsbeleid</w:t>
      </w:r>
      <w:bookmarkEnd w:id="15"/>
    </w:p>
    <w:p w14:paraId="1BDF84A7" w14:textId="77777777" w:rsidR="00161DE2" w:rsidRDefault="00161DE2" w:rsidP="00161DE2">
      <w:r w:rsidRPr="00966214">
        <w:t xml:space="preserve">UBS Asset Management (UBS AM) is onderdeel van UBS Group AG en behoort tot de grotere internationale vermogensbeheerders. Duurzaamheid vormt een belangrijk onderdeel van de bedrijfsstrategie. In het </w:t>
      </w:r>
      <w:proofErr w:type="spellStart"/>
      <w:r w:rsidRPr="00966214">
        <w:t>Sustainability</w:t>
      </w:r>
      <w:proofErr w:type="spellEnd"/>
      <w:r w:rsidRPr="00966214">
        <w:t xml:space="preserve"> Report 2024 staat dat de onderneming milieu-, sociale en bestuurlijke (ESG) factoren structureel integreert in haar beleggingsprocessen (UBS Group AG, 2024). Daarbij ligt de nadruk op het identificeren en beperken van negatieve effecten op het klimaat, de natuur en de samenleving. </w:t>
      </w:r>
    </w:p>
    <w:p w14:paraId="68F0B689" w14:textId="77777777" w:rsidR="00161DE2" w:rsidRDefault="00161DE2" w:rsidP="00161DE2"/>
    <w:p w14:paraId="759784A0" w14:textId="77777777" w:rsidR="00161DE2" w:rsidRDefault="00161DE2" w:rsidP="00161DE2">
      <w:r w:rsidRPr="00966214">
        <w:t xml:space="preserve">De organisatie sluit bedrijven uit die betrokken zijn bij tabak, steenkool en controversiële wapens en volgt internationale richtlijnen zoals de </w:t>
      </w:r>
      <w:proofErr w:type="spellStart"/>
      <w:r w:rsidRPr="00966214">
        <w:t>Principles</w:t>
      </w:r>
      <w:proofErr w:type="spellEnd"/>
      <w:r w:rsidRPr="00966214">
        <w:t xml:space="preserve"> </w:t>
      </w:r>
      <w:proofErr w:type="spellStart"/>
      <w:r w:rsidRPr="00966214">
        <w:t>for</w:t>
      </w:r>
      <w:proofErr w:type="spellEnd"/>
      <w:r w:rsidRPr="00966214">
        <w:t xml:space="preserve"> </w:t>
      </w:r>
      <w:proofErr w:type="spellStart"/>
      <w:r w:rsidRPr="00966214">
        <w:t>Responsible</w:t>
      </w:r>
      <w:proofErr w:type="spellEnd"/>
      <w:r w:rsidRPr="00966214">
        <w:t xml:space="preserve"> Investment en de United Nations Global Compact (UBS Asset Management, 2024). Binnen het kader van de Europese SFDR-regelgeving zijn de meeste Europese fondsen </w:t>
      </w:r>
      <w:r w:rsidRPr="00966214">
        <w:lastRenderedPageBreak/>
        <w:t xml:space="preserve">van UBS AM geclassificeerd onder artikel 8, terwijl een groeiend aantal fondsen onder artikel 9 valt, wat betekent dat zij duurzame doelstellingen nastreven (UBS Group AG, 2023). </w:t>
      </w:r>
    </w:p>
    <w:p w14:paraId="50C7ECAE" w14:textId="77777777" w:rsidR="00161DE2" w:rsidRDefault="00161DE2" w:rsidP="00161DE2"/>
    <w:p w14:paraId="20CFA11C" w14:textId="77777777" w:rsidR="00161DE2" w:rsidRDefault="00161DE2" w:rsidP="00161DE2">
      <w:r w:rsidRPr="00966214">
        <w:t xml:space="preserve">Een belangrijk onderdeel van het beleid is actief aandeelhouderschap. UBS AM gebruikt haar stemrecht bij aandeelhoudersvergaderingen en voert de dialoog met ondernemingen over onderwerpen zoals klimaattransitie, mensenrechten en bestuur. In het </w:t>
      </w:r>
      <w:proofErr w:type="spellStart"/>
      <w:r w:rsidRPr="00966214">
        <w:t>Stewardship</w:t>
      </w:r>
      <w:proofErr w:type="spellEnd"/>
      <w:r w:rsidRPr="00966214">
        <w:t xml:space="preserve"> Report 2024 wordt vermeld dat de organisatie duizenden stemmen heeft uitgebracht en meer dan duizend bedrijven heeft aangesproken over hun duurzaamheidsbeleid (UBS Asset Management, 2024). </w:t>
      </w:r>
    </w:p>
    <w:p w14:paraId="5864771A" w14:textId="77777777" w:rsidR="00161DE2" w:rsidRDefault="00161DE2" w:rsidP="00161DE2"/>
    <w:p w14:paraId="213A08AC" w14:textId="77777777" w:rsidR="00161DE2" w:rsidRPr="00966214" w:rsidRDefault="00161DE2" w:rsidP="00161DE2">
      <w:r w:rsidRPr="00966214">
        <w:t>Het duurzaamheidsbeleid van UBS AM is breed ontwikkeld en goed gedocumenteerd. Wel is er ruimte voor verdere transparantie, vooral bij het meten van de daadwerkelijke maatschappelijke impact van de beleggingsportefeuille.</w:t>
      </w:r>
    </w:p>
    <w:p w14:paraId="4A6B7B5C" w14:textId="77777777" w:rsidR="00161DE2" w:rsidRPr="00966214" w:rsidRDefault="00161DE2" w:rsidP="00161DE2">
      <w:pPr>
        <w:pStyle w:val="Kop2"/>
      </w:pPr>
      <w:bookmarkStart w:id="16" w:name="_Toc213749952"/>
      <w:r w:rsidRPr="00966214">
        <w:t xml:space="preserve">2. </w:t>
      </w:r>
      <w:proofErr w:type="spellStart"/>
      <w:r w:rsidRPr="00966214">
        <w:t>Governance</w:t>
      </w:r>
      <w:bookmarkEnd w:id="16"/>
      <w:proofErr w:type="spellEnd"/>
    </w:p>
    <w:p w14:paraId="18686033" w14:textId="77777777" w:rsidR="00161DE2" w:rsidRDefault="00161DE2" w:rsidP="00161DE2">
      <w:r w:rsidRPr="00966214">
        <w:t xml:space="preserve">UBS AM heeft een duidelijke bestuursstructuur, ingebed binnen de bredere organisatie van UBS Group AG. In het </w:t>
      </w:r>
      <w:proofErr w:type="spellStart"/>
      <w:r w:rsidRPr="00966214">
        <w:t>Annual</w:t>
      </w:r>
      <w:proofErr w:type="spellEnd"/>
      <w:r w:rsidRPr="00966214">
        <w:t xml:space="preserve"> Report 2023 wordt uitgelegd dat </w:t>
      </w:r>
      <w:proofErr w:type="spellStart"/>
      <w:r w:rsidRPr="00966214">
        <w:t>governance</w:t>
      </w:r>
      <w:proofErr w:type="spellEnd"/>
      <w:r w:rsidRPr="00966214">
        <w:t xml:space="preserve"> en risicobeheer centraal staan in de bedrijfsvoering (UBS Group AG, 2023). De raad van bestuur ziet toe op naleving van regelgeving, risicocontrole en duurzaamheidsdoelen. </w:t>
      </w:r>
    </w:p>
    <w:p w14:paraId="773F4DF4" w14:textId="77777777" w:rsidR="00161DE2" w:rsidRDefault="00161DE2" w:rsidP="00161DE2"/>
    <w:p w14:paraId="529E8A24" w14:textId="77777777" w:rsidR="00161DE2" w:rsidRDefault="00161DE2" w:rsidP="00161DE2">
      <w:r w:rsidRPr="00966214">
        <w:t xml:space="preserve">Binnen UBS AM is een aparte </w:t>
      </w:r>
      <w:proofErr w:type="spellStart"/>
      <w:r w:rsidRPr="00966214">
        <w:t>Sustainability</w:t>
      </w:r>
      <w:proofErr w:type="spellEnd"/>
      <w:r w:rsidRPr="00966214">
        <w:t xml:space="preserve"> </w:t>
      </w:r>
      <w:proofErr w:type="spellStart"/>
      <w:r w:rsidRPr="00966214">
        <w:t>and</w:t>
      </w:r>
      <w:proofErr w:type="spellEnd"/>
      <w:r w:rsidRPr="00966214">
        <w:t xml:space="preserve"> Impact </w:t>
      </w:r>
      <w:proofErr w:type="spellStart"/>
      <w:r w:rsidRPr="00966214">
        <w:t>Committee</w:t>
      </w:r>
      <w:proofErr w:type="spellEnd"/>
      <w:r w:rsidRPr="00966214">
        <w:t xml:space="preserve"> verantwoordelijk voor de integratie van duurzaamheidsdoelen in de strategie en de opvolging van beleidsmaatregelen (UBS Asset Management, 2024). De beloningen voor bestuurders en medewerkers zijn deels gekoppeld aan prestaties op het gebied van duurzaamheid, risicobeheersing en naleving van regels. Dit beleid sluit aan bij Europese richtlijnen (CRD V en UCITS V) en voorkomt dat er te veel nadruk ligt op </w:t>
      </w:r>
      <w:proofErr w:type="spellStart"/>
      <w:r w:rsidRPr="00966214">
        <w:t>kortetermijnresultaten</w:t>
      </w:r>
      <w:proofErr w:type="spellEnd"/>
      <w:r w:rsidRPr="00966214">
        <w:t xml:space="preserve">. </w:t>
      </w:r>
    </w:p>
    <w:p w14:paraId="272674B3" w14:textId="77777777" w:rsidR="00161DE2" w:rsidRDefault="00161DE2" w:rsidP="00161DE2"/>
    <w:p w14:paraId="0957C6E8" w14:textId="77777777" w:rsidR="00161DE2" w:rsidRPr="00966214" w:rsidRDefault="00161DE2" w:rsidP="00161DE2">
      <w:r w:rsidRPr="00966214">
        <w:t xml:space="preserve">De organisatie communiceert regelmatig over beleid en prestaties via rapportages zoals het </w:t>
      </w:r>
      <w:proofErr w:type="spellStart"/>
      <w:r w:rsidRPr="00966214">
        <w:t>Sustainability</w:t>
      </w:r>
      <w:proofErr w:type="spellEnd"/>
      <w:r w:rsidRPr="00966214">
        <w:t xml:space="preserve"> </w:t>
      </w:r>
      <w:proofErr w:type="spellStart"/>
      <w:r w:rsidRPr="00966214">
        <w:t>and</w:t>
      </w:r>
      <w:proofErr w:type="spellEnd"/>
      <w:r w:rsidRPr="00966214">
        <w:t xml:space="preserve"> </w:t>
      </w:r>
      <w:proofErr w:type="spellStart"/>
      <w:r w:rsidRPr="00966214">
        <w:t>Climate</w:t>
      </w:r>
      <w:proofErr w:type="spellEnd"/>
      <w:r w:rsidRPr="00966214">
        <w:t xml:space="preserve"> Risk Policy Framework (UBS Group AG, 2023). De </w:t>
      </w:r>
      <w:proofErr w:type="spellStart"/>
      <w:r w:rsidRPr="00966214">
        <w:t>governance</w:t>
      </w:r>
      <w:proofErr w:type="spellEnd"/>
      <w:r w:rsidRPr="00966214">
        <w:t>-structuur is professioneel en transparant ingericht, al vraagt de integratie van de voormalige Credit Suisse-activiteiten nog om verdere harmonisatie van beleid en rapportage.</w:t>
      </w:r>
    </w:p>
    <w:p w14:paraId="07765786" w14:textId="77777777" w:rsidR="00161DE2" w:rsidRPr="00966214" w:rsidRDefault="00161DE2" w:rsidP="00161DE2">
      <w:pPr>
        <w:pStyle w:val="Kop2"/>
      </w:pPr>
      <w:bookmarkStart w:id="17" w:name="_Toc213749953"/>
      <w:r w:rsidRPr="00966214">
        <w:t xml:space="preserve">3. Bad </w:t>
      </w:r>
      <w:proofErr w:type="spellStart"/>
      <w:r w:rsidRPr="00966214">
        <w:t>press</w:t>
      </w:r>
      <w:bookmarkEnd w:id="17"/>
      <w:proofErr w:type="spellEnd"/>
    </w:p>
    <w:p w14:paraId="62086DB8" w14:textId="77777777" w:rsidR="00161DE2" w:rsidRDefault="00161DE2" w:rsidP="00161DE2">
      <w:r w:rsidRPr="00966214">
        <w:t xml:space="preserve">UBS AM heeft in de afgelopen jaren enkele reputatie-uitdagingen gekend, voornamelijk in de context van de fusie met Credit Suisse Asset Management. Na deze overname in </w:t>
      </w:r>
      <w:r w:rsidRPr="00966214">
        <w:lastRenderedPageBreak/>
        <w:t xml:space="preserve">2023 ontstond er tijdelijke onrust bij beleggers en media over de integratie van duurzame fondsen en de consistentie van het beleid (UBS Group AG, 2023). UBS AM heeft daarop verklaard dat het beleid voor duurzame investeringen onverminderd belangrijk blijft en dat de samensmelting van fondsen wordt uitgevoerd met behoud van transparantie. </w:t>
      </w:r>
    </w:p>
    <w:p w14:paraId="786614F7" w14:textId="77777777" w:rsidR="00161DE2" w:rsidRDefault="00161DE2" w:rsidP="00161DE2"/>
    <w:p w14:paraId="7F3F41DC" w14:textId="77777777" w:rsidR="00161DE2" w:rsidRDefault="00161DE2" w:rsidP="00161DE2">
      <w:r w:rsidRPr="00966214">
        <w:t xml:space="preserve">Daarnaast is in verschillende duurzaamheidsrapporten aandacht besteed aan het versterken van risicobeheersing en compliance, mede naar aanleiding van aanbevelingen van de Zwitserse financiële toezichthouder FINMA (UBS Group AG, 2023). De onderneming heeft deze aanbevelingen opgevolgd door interne controle- en rapportagestructuren te verbeteren. </w:t>
      </w:r>
    </w:p>
    <w:p w14:paraId="38CE981F" w14:textId="77777777" w:rsidR="00161DE2" w:rsidRDefault="00161DE2" w:rsidP="00161DE2"/>
    <w:p w14:paraId="68AEB932" w14:textId="77777777" w:rsidR="00161DE2" w:rsidRPr="00966214" w:rsidRDefault="00161DE2" w:rsidP="00161DE2">
      <w:r w:rsidRPr="00966214">
        <w:t>Hoewel UBS AM te maken heeft gehad met reputatierisico’s, blijkt uit de recente rapportages dat de organisatie hier actief op inspeelt en structurele verbeteringen heeft doorgevoerd.</w:t>
      </w:r>
    </w:p>
    <w:p w14:paraId="1203AE80" w14:textId="77777777" w:rsidR="00161DE2" w:rsidRPr="00966214" w:rsidRDefault="00161DE2" w:rsidP="00161DE2">
      <w:pPr>
        <w:pStyle w:val="Kop2"/>
      </w:pPr>
      <w:bookmarkStart w:id="18" w:name="_Toc213749954"/>
      <w:r w:rsidRPr="00966214">
        <w:t>Conclusie</w:t>
      </w:r>
      <w:bookmarkEnd w:id="18"/>
    </w:p>
    <w:p w14:paraId="324A173A" w14:textId="77777777" w:rsidR="00161DE2" w:rsidRDefault="00161DE2" w:rsidP="00161DE2">
      <w:r w:rsidRPr="00966214">
        <w:t xml:space="preserve">UBS Asset Management komt naar voren als een internationaal opererende en professioneel bestuurde vermogensbeheerder met een solide duurzaamheidsbeleid en een duidelijke </w:t>
      </w:r>
      <w:proofErr w:type="spellStart"/>
      <w:r w:rsidRPr="00966214">
        <w:t>governance</w:t>
      </w:r>
      <w:proofErr w:type="spellEnd"/>
      <w:r w:rsidRPr="00966214">
        <w:t xml:space="preserve">-structuur. De organisatie heeft haar beleid goed verankerd in strategie en bedrijfsvoering en voldoet aan relevante regelgeving. De integratie van Credit Suisse Asset Management bracht tijdelijke uitdagingen met zich mee, maar UBS AM heeft maatregelen genomen om consistentie en transparantie te verbeteren. </w:t>
      </w:r>
    </w:p>
    <w:p w14:paraId="5F69E4C9" w14:textId="77777777" w:rsidR="00161DE2" w:rsidRDefault="00161DE2" w:rsidP="00161DE2"/>
    <w:p w14:paraId="7C7ACF41" w14:textId="77777777" w:rsidR="00161DE2" w:rsidRPr="00966214" w:rsidRDefault="00161DE2" w:rsidP="00161DE2">
      <w:r w:rsidRPr="00966214">
        <w:t>De vermogensbeheerder is daarmee een betrouwbare partij voor beleggers die duurzaamheid en verantwoord bestuur belangrijk vinden, al blijft verdere verfijning van meetbare resultaten en rapportage gewenst.</w:t>
      </w:r>
    </w:p>
    <w:p w14:paraId="0E6DE175" w14:textId="77777777" w:rsidR="00161DE2" w:rsidRPr="00966214" w:rsidRDefault="00161DE2" w:rsidP="00161DE2">
      <w:pPr>
        <w:pStyle w:val="Kop2"/>
      </w:pPr>
      <w:bookmarkStart w:id="19" w:name="_Toc213749955"/>
      <w:r w:rsidRPr="00966214">
        <w:t>Beslissingsmatrix UBS Asset Management</w:t>
      </w:r>
      <w:bookmarkEnd w:id="19"/>
    </w:p>
    <w:tbl>
      <w:tblPr>
        <w:tblStyle w:val="Tabelraster"/>
        <w:tblW w:w="0" w:type="auto"/>
        <w:tblLook w:val="04A0" w:firstRow="1" w:lastRow="0" w:firstColumn="1" w:lastColumn="0" w:noHBand="0" w:noVBand="1"/>
      </w:tblPr>
      <w:tblGrid>
        <w:gridCol w:w="2498"/>
        <w:gridCol w:w="2160"/>
        <w:gridCol w:w="2160"/>
        <w:gridCol w:w="2160"/>
      </w:tblGrid>
      <w:tr w:rsidR="00161DE2" w:rsidRPr="00966214" w14:paraId="48697D6A" w14:textId="77777777" w:rsidTr="00233105">
        <w:tc>
          <w:tcPr>
            <w:tcW w:w="2160" w:type="dxa"/>
          </w:tcPr>
          <w:p w14:paraId="286F0E43" w14:textId="77777777" w:rsidR="00161DE2" w:rsidRPr="00966214" w:rsidRDefault="00161DE2" w:rsidP="00233105">
            <w:r w:rsidRPr="00966214">
              <w:t>Criterium</w:t>
            </w:r>
          </w:p>
        </w:tc>
        <w:tc>
          <w:tcPr>
            <w:tcW w:w="2160" w:type="dxa"/>
          </w:tcPr>
          <w:p w14:paraId="4782E220" w14:textId="77777777" w:rsidR="00161DE2" w:rsidRPr="00966214" w:rsidRDefault="00161DE2" w:rsidP="00233105">
            <w:r w:rsidRPr="00966214">
              <w:t>Weging (%)</w:t>
            </w:r>
          </w:p>
        </w:tc>
        <w:tc>
          <w:tcPr>
            <w:tcW w:w="2160" w:type="dxa"/>
          </w:tcPr>
          <w:p w14:paraId="0329D1E7" w14:textId="77777777" w:rsidR="00161DE2" w:rsidRPr="00966214" w:rsidRDefault="00161DE2" w:rsidP="00233105">
            <w:r w:rsidRPr="00966214">
              <w:t>Score (0–10)</w:t>
            </w:r>
          </w:p>
        </w:tc>
        <w:tc>
          <w:tcPr>
            <w:tcW w:w="2160" w:type="dxa"/>
          </w:tcPr>
          <w:p w14:paraId="76662A16" w14:textId="77777777" w:rsidR="00161DE2" w:rsidRPr="00966214" w:rsidRDefault="00161DE2" w:rsidP="00233105">
            <w:r w:rsidRPr="00966214">
              <w:t>Gewogen score</w:t>
            </w:r>
          </w:p>
        </w:tc>
      </w:tr>
      <w:tr w:rsidR="00161DE2" w:rsidRPr="00966214" w14:paraId="5CE50C88" w14:textId="77777777" w:rsidTr="00233105">
        <w:tc>
          <w:tcPr>
            <w:tcW w:w="2160" w:type="dxa"/>
          </w:tcPr>
          <w:p w14:paraId="11FD19D0" w14:textId="77777777" w:rsidR="00161DE2" w:rsidRPr="00966214" w:rsidRDefault="00161DE2" w:rsidP="00233105">
            <w:r w:rsidRPr="00966214">
              <w:t>Duurzaamheidsbeleid</w:t>
            </w:r>
          </w:p>
        </w:tc>
        <w:tc>
          <w:tcPr>
            <w:tcW w:w="2160" w:type="dxa"/>
          </w:tcPr>
          <w:p w14:paraId="35D3ECEC" w14:textId="77777777" w:rsidR="00161DE2" w:rsidRPr="00966214" w:rsidRDefault="00161DE2" w:rsidP="00233105">
            <w:r w:rsidRPr="00966214">
              <w:t>40</w:t>
            </w:r>
          </w:p>
        </w:tc>
        <w:tc>
          <w:tcPr>
            <w:tcW w:w="2160" w:type="dxa"/>
          </w:tcPr>
          <w:p w14:paraId="1E34E198" w14:textId="77777777" w:rsidR="00161DE2" w:rsidRPr="00966214" w:rsidRDefault="00161DE2" w:rsidP="00233105">
            <w:r w:rsidRPr="00966214">
              <w:t>8</w:t>
            </w:r>
          </w:p>
        </w:tc>
        <w:tc>
          <w:tcPr>
            <w:tcW w:w="2160" w:type="dxa"/>
          </w:tcPr>
          <w:p w14:paraId="6DBF3F1C" w14:textId="77777777" w:rsidR="00161DE2" w:rsidRPr="00966214" w:rsidRDefault="00161DE2" w:rsidP="00233105">
            <w:r w:rsidRPr="00966214">
              <w:t>3,2</w:t>
            </w:r>
          </w:p>
        </w:tc>
      </w:tr>
      <w:tr w:rsidR="00161DE2" w:rsidRPr="00966214" w14:paraId="27E13F4A" w14:textId="77777777" w:rsidTr="00233105">
        <w:tc>
          <w:tcPr>
            <w:tcW w:w="2160" w:type="dxa"/>
          </w:tcPr>
          <w:p w14:paraId="5A1EA4E2" w14:textId="77777777" w:rsidR="00161DE2" w:rsidRPr="00966214" w:rsidRDefault="00161DE2" w:rsidP="00233105">
            <w:proofErr w:type="spellStart"/>
            <w:r w:rsidRPr="00966214">
              <w:t>Governance</w:t>
            </w:r>
            <w:proofErr w:type="spellEnd"/>
          </w:p>
        </w:tc>
        <w:tc>
          <w:tcPr>
            <w:tcW w:w="2160" w:type="dxa"/>
          </w:tcPr>
          <w:p w14:paraId="64A84605" w14:textId="77777777" w:rsidR="00161DE2" w:rsidRPr="00966214" w:rsidRDefault="00161DE2" w:rsidP="00233105">
            <w:r w:rsidRPr="00966214">
              <w:t>40</w:t>
            </w:r>
          </w:p>
        </w:tc>
        <w:tc>
          <w:tcPr>
            <w:tcW w:w="2160" w:type="dxa"/>
          </w:tcPr>
          <w:p w14:paraId="26931871" w14:textId="77777777" w:rsidR="00161DE2" w:rsidRPr="00966214" w:rsidRDefault="00161DE2" w:rsidP="00233105">
            <w:r w:rsidRPr="00966214">
              <w:t>7</w:t>
            </w:r>
          </w:p>
        </w:tc>
        <w:tc>
          <w:tcPr>
            <w:tcW w:w="2160" w:type="dxa"/>
          </w:tcPr>
          <w:p w14:paraId="741D6CBB" w14:textId="77777777" w:rsidR="00161DE2" w:rsidRPr="00966214" w:rsidRDefault="00161DE2" w:rsidP="00233105">
            <w:r w:rsidRPr="00966214">
              <w:t>2,8</w:t>
            </w:r>
          </w:p>
        </w:tc>
      </w:tr>
      <w:tr w:rsidR="00161DE2" w:rsidRPr="00966214" w14:paraId="53B4CC55" w14:textId="77777777" w:rsidTr="00233105">
        <w:tc>
          <w:tcPr>
            <w:tcW w:w="2160" w:type="dxa"/>
          </w:tcPr>
          <w:p w14:paraId="0745CF61" w14:textId="77777777" w:rsidR="00161DE2" w:rsidRPr="00966214" w:rsidRDefault="00161DE2" w:rsidP="00233105">
            <w:r w:rsidRPr="00966214">
              <w:t xml:space="preserve">Bad </w:t>
            </w:r>
            <w:proofErr w:type="spellStart"/>
            <w:r w:rsidRPr="00966214">
              <w:t>press</w:t>
            </w:r>
            <w:proofErr w:type="spellEnd"/>
          </w:p>
        </w:tc>
        <w:tc>
          <w:tcPr>
            <w:tcW w:w="2160" w:type="dxa"/>
          </w:tcPr>
          <w:p w14:paraId="1C317962" w14:textId="77777777" w:rsidR="00161DE2" w:rsidRPr="00966214" w:rsidRDefault="00161DE2" w:rsidP="00233105">
            <w:r w:rsidRPr="00966214">
              <w:t>20</w:t>
            </w:r>
          </w:p>
        </w:tc>
        <w:tc>
          <w:tcPr>
            <w:tcW w:w="2160" w:type="dxa"/>
          </w:tcPr>
          <w:p w14:paraId="310A6078" w14:textId="77777777" w:rsidR="00161DE2" w:rsidRPr="00966214" w:rsidRDefault="00161DE2" w:rsidP="00233105">
            <w:r w:rsidRPr="00966214">
              <w:t>6</w:t>
            </w:r>
          </w:p>
        </w:tc>
        <w:tc>
          <w:tcPr>
            <w:tcW w:w="2160" w:type="dxa"/>
          </w:tcPr>
          <w:p w14:paraId="7623BA73" w14:textId="77777777" w:rsidR="00161DE2" w:rsidRPr="00966214" w:rsidRDefault="00161DE2" w:rsidP="00233105">
            <w:r w:rsidRPr="00966214">
              <w:t>1,2</w:t>
            </w:r>
          </w:p>
        </w:tc>
      </w:tr>
      <w:tr w:rsidR="00161DE2" w:rsidRPr="00966214" w14:paraId="2C7411CE" w14:textId="77777777" w:rsidTr="00233105">
        <w:tc>
          <w:tcPr>
            <w:tcW w:w="2160" w:type="dxa"/>
          </w:tcPr>
          <w:p w14:paraId="5A0FAAC6" w14:textId="77777777" w:rsidR="00161DE2" w:rsidRPr="00966214" w:rsidRDefault="00161DE2" w:rsidP="00233105">
            <w:r w:rsidRPr="00966214">
              <w:t>Totaal</w:t>
            </w:r>
          </w:p>
        </w:tc>
        <w:tc>
          <w:tcPr>
            <w:tcW w:w="2160" w:type="dxa"/>
          </w:tcPr>
          <w:p w14:paraId="26175C3A" w14:textId="77777777" w:rsidR="00161DE2" w:rsidRPr="00966214" w:rsidRDefault="00161DE2" w:rsidP="00233105">
            <w:r w:rsidRPr="00966214">
              <w:t>100</w:t>
            </w:r>
          </w:p>
        </w:tc>
        <w:tc>
          <w:tcPr>
            <w:tcW w:w="2160" w:type="dxa"/>
          </w:tcPr>
          <w:p w14:paraId="6939DEEE" w14:textId="77777777" w:rsidR="00161DE2" w:rsidRPr="00966214" w:rsidRDefault="00161DE2" w:rsidP="00233105"/>
        </w:tc>
        <w:tc>
          <w:tcPr>
            <w:tcW w:w="2160" w:type="dxa"/>
          </w:tcPr>
          <w:p w14:paraId="6C2A43B3" w14:textId="77777777" w:rsidR="00161DE2" w:rsidRPr="00966214" w:rsidRDefault="00161DE2" w:rsidP="00233105">
            <w:r w:rsidRPr="00966214">
              <w:t>7,2</w:t>
            </w:r>
          </w:p>
        </w:tc>
      </w:tr>
    </w:tbl>
    <w:p w14:paraId="7BDBD556" w14:textId="77777777" w:rsidR="00161DE2" w:rsidRPr="00966214" w:rsidRDefault="00161DE2" w:rsidP="00161DE2">
      <w:pPr>
        <w:pStyle w:val="Kop2"/>
      </w:pPr>
      <w:bookmarkStart w:id="20" w:name="_Toc213749956"/>
      <w:r w:rsidRPr="00966214">
        <w:t>Toelichting per criterium</w:t>
      </w:r>
      <w:bookmarkEnd w:id="20"/>
    </w:p>
    <w:p w14:paraId="3B944BB7" w14:textId="77777777" w:rsidR="00161DE2" w:rsidRPr="00966214" w:rsidRDefault="00161DE2" w:rsidP="00161DE2">
      <w:r w:rsidRPr="00966214">
        <w:t>Duurzaamheidsbeleid (8/10): Het beleid is uitgebreid, goed vastgelegd en actief toegepast in het beleggingsproces. De onderneming rapporteert jaarlijks over voortgang en engagement.</w:t>
      </w:r>
    </w:p>
    <w:p w14:paraId="43296E8B" w14:textId="77777777" w:rsidR="00161DE2" w:rsidRDefault="00161DE2" w:rsidP="00161DE2"/>
    <w:p w14:paraId="278293C7" w14:textId="77777777" w:rsidR="00161DE2" w:rsidRPr="00966214" w:rsidRDefault="00161DE2" w:rsidP="00161DE2">
      <w:proofErr w:type="spellStart"/>
      <w:r w:rsidRPr="00966214">
        <w:t>Governance</w:t>
      </w:r>
      <w:proofErr w:type="spellEnd"/>
      <w:r w:rsidRPr="00966214">
        <w:t xml:space="preserve"> (7/10): De bestuursstructuur is professioneel en transparant, maar de integratie van Credit Suisse vraagt nog om verdere afstemming van beleid en rapportage.</w:t>
      </w:r>
    </w:p>
    <w:p w14:paraId="576C057E" w14:textId="77777777" w:rsidR="00161DE2" w:rsidRDefault="00161DE2" w:rsidP="00161DE2"/>
    <w:p w14:paraId="661BA88F" w14:textId="77777777" w:rsidR="00161DE2" w:rsidRDefault="00161DE2" w:rsidP="00161DE2">
      <w:r w:rsidRPr="00966214">
        <w:t xml:space="preserve">Bad </w:t>
      </w:r>
      <w:proofErr w:type="spellStart"/>
      <w:r w:rsidRPr="00966214">
        <w:t>press</w:t>
      </w:r>
      <w:proofErr w:type="spellEnd"/>
      <w:r w:rsidRPr="00966214">
        <w:t xml:space="preserve"> (6/10): Er was sprake van reputatie-uitdagingen rond de overname van Credit Suisse Asset Management, maar UBS AM heeft daar adequaat op gereageerd met verbetermaatregelen.</w:t>
      </w:r>
    </w:p>
    <w:p w14:paraId="4E1E6478" w14:textId="77777777" w:rsidR="00161DE2" w:rsidRPr="007516EC" w:rsidRDefault="00161DE2" w:rsidP="00161DE2">
      <w:pPr>
        <w:pStyle w:val="Kop1"/>
      </w:pPr>
      <w:bookmarkStart w:id="21" w:name="_Toc213749957"/>
      <w:proofErr w:type="spellStart"/>
      <w:r w:rsidRPr="007516EC">
        <w:t>Candriam</w:t>
      </w:r>
      <w:bookmarkEnd w:id="21"/>
      <w:proofErr w:type="spellEnd"/>
    </w:p>
    <w:p w14:paraId="7F01265B" w14:textId="77777777" w:rsidR="00161DE2" w:rsidRPr="00966214" w:rsidRDefault="00161DE2" w:rsidP="00161DE2">
      <w:pPr>
        <w:pStyle w:val="Kop2"/>
      </w:pPr>
      <w:bookmarkStart w:id="22" w:name="_Toc213749958"/>
      <w:r w:rsidRPr="00966214">
        <w:t>1. Duurzaamheidsbeleid</w:t>
      </w:r>
      <w:bookmarkEnd w:id="22"/>
    </w:p>
    <w:p w14:paraId="6A297E4C" w14:textId="77777777" w:rsidR="00161DE2" w:rsidRPr="00966214" w:rsidRDefault="00161DE2" w:rsidP="00161DE2">
      <w:proofErr w:type="spellStart"/>
      <w:r w:rsidRPr="00966214">
        <w:t>Candriam</w:t>
      </w:r>
      <w:proofErr w:type="spellEnd"/>
      <w:r w:rsidRPr="00966214">
        <w:t xml:space="preserve"> heeft duurzaamheidbeleid in het beleggingsproces. Op de overzichtspagina met duurzaamheidsdocumenten worden de belangrijkste beleidsstukken en rapporten gebundeld, waaronder uitsluitingen, stemmen, engagement en rapportages over natuur gerelateerde risico’s (</w:t>
      </w:r>
      <w:proofErr w:type="spellStart"/>
      <w:r w:rsidRPr="00966214">
        <w:t>Candriam</w:t>
      </w:r>
      <w:proofErr w:type="spellEnd"/>
      <w:r w:rsidRPr="00966214">
        <w:t>, 2024a). De organisatie past een uitgebreid uitsluitingsbeleid toe voor onder meer tabak, thermische kolen, controversiële wapens en staatsobligaties van onderdrukkende regimes. Dit beleid is geactualiseerd in 2025 en is van toepassing over meerdere beleggingscategorieën (</w:t>
      </w:r>
      <w:proofErr w:type="spellStart"/>
      <w:r w:rsidRPr="00966214">
        <w:t>Candriam</w:t>
      </w:r>
      <w:proofErr w:type="spellEnd"/>
      <w:r w:rsidRPr="00966214">
        <w:t>, 2025a).</w:t>
      </w:r>
    </w:p>
    <w:p w14:paraId="54DF1295" w14:textId="77777777" w:rsidR="00161DE2" w:rsidRDefault="00161DE2" w:rsidP="00161DE2"/>
    <w:p w14:paraId="0CD8CA54" w14:textId="77777777" w:rsidR="00161DE2" w:rsidRPr="00966214" w:rsidRDefault="00161DE2" w:rsidP="00161DE2">
      <w:r w:rsidRPr="00966214">
        <w:t xml:space="preserve">In lijn met de Europese regels voor duurzame beleggingen (SFDR) publiceert </w:t>
      </w:r>
      <w:proofErr w:type="spellStart"/>
      <w:r w:rsidRPr="00966214">
        <w:t>Candriam</w:t>
      </w:r>
      <w:proofErr w:type="spellEnd"/>
      <w:r w:rsidRPr="00966214">
        <w:t xml:space="preserve"> een aparte toelichting op artikel 8- en artikel 9</w:t>
      </w:r>
      <w:r w:rsidRPr="00966214">
        <w:rPr>
          <w:rFonts w:ascii="Cambria Math" w:hAnsi="Cambria Math" w:cs="Cambria Math"/>
        </w:rPr>
        <w:t>‑</w:t>
      </w:r>
      <w:r w:rsidRPr="00966214">
        <w:t>producten, en legt zij uit hoe deze classificatie is geïmplementeerd (</w:t>
      </w:r>
      <w:proofErr w:type="spellStart"/>
      <w:r w:rsidRPr="00966214">
        <w:t>Candriam</w:t>
      </w:r>
      <w:proofErr w:type="spellEnd"/>
      <w:r w:rsidRPr="00966214">
        <w:t xml:space="preserve">, 2023a; 2025c). Daarnaast rapporteert </w:t>
      </w:r>
      <w:proofErr w:type="spellStart"/>
      <w:r w:rsidRPr="00966214">
        <w:t>Candriam</w:t>
      </w:r>
      <w:proofErr w:type="spellEnd"/>
      <w:r w:rsidRPr="00966214">
        <w:t xml:space="preserve"> over haar aanpak voor </w:t>
      </w:r>
      <w:proofErr w:type="spellStart"/>
      <w:r w:rsidRPr="00966214">
        <w:t>natuurgerelateerde</w:t>
      </w:r>
      <w:proofErr w:type="spellEnd"/>
      <w:r w:rsidRPr="00966214">
        <w:t xml:space="preserve"> risico’s conform het TNFD</w:t>
      </w:r>
      <w:r w:rsidRPr="00966214">
        <w:rPr>
          <w:rFonts w:ascii="Cambria Math" w:hAnsi="Cambria Math" w:cs="Cambria Math"/>
        </w:rPr>
        <w:t>‑</w:t>
      </w:r>
      <w:r w:rsidRPr="00966214">
        <w:t>kader en over negatieve effecten van beleggingen op milieu en maatschappij (</w:t>
      </w:r>
      <w:proofErr w:type="spellStart"/>
      <w:r w:rsidRPr="00966214">
        <w:t>Candriam</w:t>
      </w:r>
      <w:proofErr w:type="spellEnd"/>
      <w:r w:rsidRPr="00966214">
        <w:t>, 2024b; 2025d).</w:t>
      </w:r>
    </w:p>
    <w:p w14:paraId="73D6B714" w14:textId="77777777" w:rsidR="00161DE2" w:rsidRDefault="00161DE2" w:rsidP="00161DE2"/>
    <w:p w14:paraId="0F3A6DCF" w14:textId="77777777" w:rsidR="00161DE2" w:rsidRPr="00966214" w:rsidRDefault="00161DE2" w:rsidP="00161DE2">
      <w:r w:rsidRPr="00966214">
        <w:t xml:space="preserve">Actief aandeelhouderschap is een vaste pijler: in het verslag over 2024 beschrijft </w:t>
      </w:r>
      <w:proofErr w:type="spellStart"/>
      <w:r w:rsidRPr="00966214">
        <w:t>Candriam</w:t>
      </w:r>
      <w:proofErr w:type="spellEnd"/>
      <w:r w:rsidRPr="00966214">
        <w:t xml:space="preserve"> honderden bedrijfsgesprekken en stembeslissingen, met thema’s als klimaat, biodiversiteit, mensenrechten en goed bestuur (</w:t>
      </w:r>
      <w:proofErr w:type="spellStart"/>
      <w:r w:rsidRPr="00966214">
        <w:t>Candriam</w:t>
      </w:r>
      <w:proofErr w:type="spellEnd"/>
      <w:r w:rsidRPr="00966214">
        <w:t>, 2025b). Deze combinatie van beleid, transparantie en opvolging laat zien dat duurzaamheid niet alleen in beleid, maar ook in uitvoering is ingebed.</w:t>
      </w:r>
    </w:p>
    <w:p w14:paraId="4F935545" w14:textId="77777777" w:rsidR="00161DE2" w:rsidRPr="00966214" w:rsidRDefault="00161DE2" w:rsidP="00161DE2">
      <w:pPr>
        <w:pStyle w:val="Kop2"/>
      </w:pPr>
      <w:bookmarkStart w:id="23" w:name="_Toc213749959"/>
      <w:r w:rsidRPr="00966214">
        <w:t xml:space="preserve">2. </w:t>
      </w:r>
      <w:proofErr w:type="spellStart"/>
      <w:r w:rsidRPr="00966214">
        <w:t>Governance</w:t>
      </w:r>
      <w:bookmarkEnd w:id="23"/>
      <w:proofErr w:type="spellEnd"/>
    </w:p>
    <w:p w14:paraId="623B254F" w14:textId="77777777" w:rsidR="00161DE2" w:rsidRPr="00966214" w:rsidRDefault="00161DE2" w:rsidP="00161DE2">
      <w:proofErr w:type="spellStart"/>
      <w:r w:rsidRPr="00966214">
        <w:t>Candriam</w:t>
      </w:r>
      <w:proofErr w:type="spellEnd"/>
      <w:r w:rsidRPr="00966214">
        <w:t xml:space="preserve"> publiceert een beloningsbeleid waarin de rol van de raad van bestuur en de beloningscommissie is vastgelegd. Variabele beloning is onderworpen aan voorwaarden, met uitgestelde uitbetaling boven bepaalde drempels, en niet</w:t>
      </w:r>
      <w:r w:rsidRPr="00966214">
        <w:rPr>
          <w:rFonts w:ascii="Cambria Math" w:hAnsi="Cambria Math" w:cs="Cambria Math"/>
        </w:rPr>
        <w:t>‑</w:t>
      </w:r>
      <w:r w:rsidRPr="00966214">
        <w:t>uitvoerende bestuurders ontvangen geen variabele beloning (</w:t>
      </w:r>
      <w:proofErr w:type="spellStart"/>
      <w:r w:rsidRPr="00966214">
        <w:t>Candriam</w:t>
      </w:r>
      <w:proofErr w:type="spellEnd"/>
      <w:r w:rsidRPr="00966214">
        <w:t xml:space="preserve">, 2025e). In </w:t>
      </w:r>
      <w:r w:rsidRPr="00966214">
        <w:lastRenderedPageBreak/>
        <w:t xml:space="preserve">het onderdeel over </w:t>
      </w:r>
      <w:proofErr w:type="spellStart"/>
      <w:r w:rsidRPr="00966214">
        <w:t>governance</w:t>
      </w:r>
      <w:proofErr w:type="spellEnd"/>
      <w:r w:rsidRPr="00966214">
        <w:t xml:space="preserve"> in het maatschappelijke verslag staat dat commissies structureel de uitvoering van strategie, risico</w:t>
      </w:r>
      <w:r w:rsidRPr="00966214">
        <w:rPr>
          <w:rFonts w:ascii="Cambria Math" w:hAnsi="Cambria Math" w:cs="Cambria Math"/>
        </w:rPr>
        <w:t>‑</w:t>
      </w:r>
      <w:r w:rsidRPr="00966214">
        <w:t xml:space="preserve"> en duurzaamheidsdoelstellingen volgen, met specifieke sessies voor ESG en maatschappelijke verantwoordelijkheid (</w:t>
      </w:r>
      <w:proofErr w:type="spellStart"/>
      <w:r w:rsidRPr="00966214">
        <w:t>Candriam</w:t>
      </w:r>
      <w:proofErr w:type="spellEnd"/>
      <w:r w:rsidRPr="00966214">
        <w:t>, 2024c).</w:t>
      </w:r>
    </w:p>
    <w:p w14:paraId="12134176" w14:textId="77777777" w:rsidR="00161DE2" w:rsidRDefault="00161DE2" w:rsidP="00161DE2"/>
    <w:p w14:paraId="07C305B7" w14:textId="77777777" w:rsidR="00161DE2" w:rsidRPr="00966214" w:rsidRDefault="00161DE2" w:rsidP="00161DE2">
      <w:r w:rsidRPr="00966214">
        <w:t>De onderneming licht verder haar selectie</w:t>
      </w:r>
      <w:r w:rsidRPr="00966214">
        <w:rPr>
          <w:rFonts w:ascii="Cambria Math" w:hAnsi="Cambria Math" w:cs="Cambria Math"/>
        </w:rPr>
        <w:t>‑</w:t>
      </w:r>
      <w:r w:rsidRPr="00966214">
        <w:t xml:space="preserve"> en uitvoeringsbeleid toe (</w:t>
      </w:r>
      <w:proofErr w:type="spellStart"/>
      <w:r w:rsidRPr="00966214">
        <w:t>MiFID</w:t>
      </w:r>
      <w:proofErr w:type="spellEnd"/>
      <w:r w:rsidRPr="00966214">
        <w:t xml:space="preserve"> II) en publiceert transparantiecodes, stemrichtlijnen en verslaggeving over de toepassing daarvan (</w:t>
      </w:r>
      <w:proofErr w:type="spellStart"/>
      <w:r w:rsidRPr="00966214">
        <w:t>Candriam</w:t>
      </w:r>
      <w:proofErr w:type="spellEnd"/>
      <w:r w:rsidRPr="00966214">
        <w:t>, 2024d; 2024e). De communicatie naar beleggers is daardoor redelijk volledig en terugkerend, met jaarlijkse updates en tussentijdse statistieken.</w:t>
      </w:r>
    </w:p>
    <w:p w14:paraId="5FBEF9A5" w14:textId="77777777" w:rsidR="00161DE2" w:rsidRPr="00966214" w:rsidRDefault="00161DE2" w:rsidP="00161DE2">
      <w:pPr>
        <w:pStyle w:val="Kop2"/>
      </w:pPr>
      <w:bookmarkStart w:id="24" w:name="_Toc213749960"/>
      <w:r w:rsidRPr="00966214">
        <w:t xml:space="preserve">3. Bad </w:t>
      </w:r>
      <w:proofErr w:type="spellStart"/>
      <w:r w:rsidRPr="00966214">
        <w:t>press</w:t>
      </w:r>
      <w:bookmarkEnd w:id="24"/>
      <w:proofErr w:type="spellEnd"/>
    </w:p>
    <w:p w14:paraId="3C7C29AD" w14:textId="77777777" w:rsidR="00161DE2" w:rsidRPr="00966214" w:rsidRDefault="00161DE2" w:rsidP="00161DE2">
      <w:r w:rsidRPr="00966214">
        <w:t xml:space="preserve">In de afgelopen vijf jaar is er in de media en door onderzoeksinstanties regelmatig aandacht geweest voor de mate waarin duurzame fondsen daadwerkelijk fossiele activiteiten uitsluiten of reduceren. Ook </w:t>
      </w:r>
      <w:proofErr w:type="spellStart"/>
      <w:r w:rsidRPr="00966214">
        <w:t>Candriam</w:t>
      </w:r>
      <w:proofErr w:type="spellEnd"/>
      <w:r w:rsidRPr="00966214">
        <w:t xml:space="preserve"> wordt in dit bredere debat over ‘greenwashing’ soms genoemd, vooral in de context van de verschillen tussen de duurzaamheidsdoelstellingen van fondsen en hun feitelijke samenstelling. Deze kritiek richt zich met name op de methode waarmee bedrijven worden beoordeeld op hun koolstofvoetafdruk of transitiestrategie.</w:t>
      </w:r>
    </w:p>
    <w:p w14:paraId="0257998F" w14:textId="77777777" w:rsidR="00161DE2" w:rsidRDefault="00161DE2" w:rsidP="00161DE2"/>
    <w:p w14:paraId="75AAAFE7" w14:textId="77777777" w:rsidR="00161DE2" w:rsidRPr="00966214" w:rsidRDefault="00161DE2" w:rsidP="00161DE2">
      <w:proofErr w:type="spellStart"/>
      <w:r w:rsidRPr="00966214">
        <w:t>Candriam</w:t>
      </w:r>
      <w:proofErr w:type="spellEnd"/>
      <w:r w:rsidRPr="00966214">
        <w:t xml:space="preserve"> heeft in reactie hierop haar transparantie verhoogd door meer details te publiceren over de beoordeling van ondernemingen, de toegepaste uitsluitingen en de duurzame impactmeting. Via de jaarlijkse engagement- en SFDR</w:t>
      </w:r>
      <w:r w:rsidRPr="00966214">
        <w:rPr>
          <w:rFonts w:ascii="Cambria Math" w:hAnsi="Cambria Math" w:cs="Cambria Math"/>
        </w:rPr>
        <w:t>‑</w:t>
      </w:r>
      <w:r w:rsidRPr="00966214">
        <w:t>rapporten licht de organisatie toe hoe selectiecriteria worden aangescherpt en hoe gesprekken met bedrijven wordt gebruikt om concrete verbeteringen te stimuleren (</w:t>
      </w:r>
      <w:proofErr w:type="spellStart"/>
      <w:r w:rsidRPr="00966214">
        <w:t>Candriam</w:t>
      </w:r>
      <w:proofErr w:type="spellEnd"/>
      <w:r w:rsidRPr="00966214">
        <w:t xml:space="preserve">, 2025b; 2025c). Concrete sancties of toezichtmaatregelen zijn in recente jaren niet gemeld, wat erop wijst dat de reputatie van </w:t>
      </w:r>
      <w:proofErr w:type="spellStart"/>
      <w:r w:rsidRPr="00966214">
        <w:t>Candriam</w:t>
      </w:r>
      <w:proofErr w:type="spellEnd"/>
      <w:r w:rsidRPr="00966214">
        <w:t xml:space="preserve"> stabiel blijft ondanks het bredere debat in de sector.</w:t>
      </w:r>
    </w:p>
    <w:p w14:paraId="302B3086" w14:textId="77777777" w:rsidR="00161DE2" w:rsidRPr="00966214" w:rsidRDefault="00161DE2" w:rsidP="00161DE2">
      <w:pPr>
        <w:pStyle w:val="Kop2"/>
      </w:pPr>
      <w:bookmarkStart w:id="25" w:name="_Toc213749961"/>
      <w:r w:rsidRPr="00966214">
        <w:t>Conclusie</w:t>
      </w:r>
      <w:bookmarkEnd w:id="25"/>
    </w:p>
    <w:p w14:paraId="03F15BFA" w14:textId="77777777" w:rsidR="00161DE2" w:rsidRPr="00966214" w:rsidRDefault="00161DE2" w:rsidP="00161DE2">
      <w:proofErr w:type="spellStart"/>
      <w:r w:rsidRPr="00966214">
        <w:t>Candriam</w:t>
      </w:r>
      <w:proofErr w:type="spellEnd"/>
      <w:r w:rsidRPr="00966214">
        <w:t xml:space="preserve"> positioneert zich als een beheerder met een breed en openbaar duurzaamheidskader, actieve gesprekken met ondernemingen en terugkerende rapportages. De </w:t>
      </w:r>
      <w:proofErr w:type="spellStart"/>
      <w:r w:rsidRPr="00966214">
        <w:t>governance</w:t>
      </w:r>
      <w:proofErr w:type="spellEnd"/>
      <w:r w:rsidRPr="00966214">
        <w:rPr>
          <w:rFonts w:ascii="Cambria Math" w:hAnsi="Cambria Math" w:cs="Cambria Math"/>
        </w:rPr>
        <w:t>‑</w:t>
      </w:r>
      <w:r w:rsidRPr="00966214">
        <w:t xml:space="preserve">inrichting is duidelijk beschreven en het beloningsbeleid bevat waarborgen tegen ongepaste </w:t>
      </w:r>
      <w:proofErr w:type="spellStart"/>
      <w:r w:rsidRPr="00966214">
        <w:t>belongingsprikkels</w:t>
      </w:r>
      <w:proofErr w:type="spellEnd"/>
      <w:r w:rsidRPr="00966214">
        <w:t xml:space="preserve">. Kritiek in de media richt zich vooral op de mate waarin fondsen in de praktijk nog blootstelling hebben aan bedrijven met fossiele projecten en hoe dat zich verhoudt tot de duurzaamheidsambities. </w:t>
      </w:r>
      <w:proofErr w:type="spellStart"/>
      <w:r w:rsidRPr="00966214">
        <w:t>Candriam</w:t>
      </w:r>
      <w:proofErr w:type="spellEnd"/>
      <w:r w:rsidRPr="00966214">
        <w:t xml:space="preserve"> is een serieuze keuze voor beleggers die waarde hechten aan duurzaamheid en transparantie, met als aandachtspunt de doorvertaling van beleid naar meetbare impact in alle fondsen.</w:t>
      </w:r>
    </w:p>
    <w:p w14:paraId="5D622A62" w14:textId="77777777" w:rsidR="00161DE2" w:rsidRPr="00966214" w:rsidRDefault="00161DE2" w:rsidP="00161DE2">
      <w:pPr>
        <w:pStyle w:val="Kop2"/>
      </w:pPr>
      <w:bookmarkStart w:id="26" w:name="_Toc213749962"/>
      <w:r w:rsidRPr="00966214">
        <w:lastRenderedPageBreak/>
        <w:t xml:space="preserve">Beslissingsmatrix </w:t>
      </w:r>
      <w:proofErr w:type="spellStart"/>
      <w:r w:rsidRPr="00966214">
        <w:t>Candriam</w:t>
      </w:r>
      <w:bookmarkEnd w:id="26"/>
      <w:proofErr w:type="spellEnd"/>
    </w:p>
    <w:tbl>
      <w:tblPr>
        <w:tblStyle w:val="Tabelraster"/>
        <w:tblW w:w="0" w:type="auto"/>
        <w:tblLook w:val="04A0" w:firstRow="1" w:lastRow="0" w:firstColumn="1" w:lastColumn="0" w:noHBand="0" w:noVBand="1"/>
      </w:tblPr>
      <w:tblGrid>
        <w:gridCol w:w="2498"/>
        <w:gridCol w:w="2160"/>
        <w:gridCol w:w="2160"/>
        <w:gridCol w:w="2160"/>
      </w:tblGrid>
      <w:tr w:rsidR="00161DE2" w:rsidRPr="00966214" w14:paraId="6988CDFB" w14:textId="77777777" w:rsidTr="00233105">
        <w:tc>
          <w:tcPr>
            <w:tcW w:w="2160" w:type="dxa"/>
          </w:tcPr>
          <w:p w14:paraId="1A00E405" w14:textId="77777777" w:rsidR="00161DE2" w:rsidRPr="00966214" w:rsidRDefault="00161DE2" w:rsidP="00233105">
            <w:r w:rsidRPr="00966214">
              <w:t>Criterium</w:t>
            </w:r>
          </w:p>
        </w:tc>
        <w:tc>
          <w:tcPr>
            <w:tcW w:w="2160" w:type="dxa"/>
          </w:tcPr>
          <w:p w14:paraId="2F38554E" w14:textId="77777777" w:rsidR="00161DE2" w:rsidRPr="00966214" w:rsidRDefault="00161DE2" w:rsidP="00233105">
            <w:r w:rsidRPr="00966214">
              <w:t>Weging (%)</w:t>
            </w:r>
          </w:p>
        </w:tc>
        <w:tc>
          <w:tcPr>
            <w:tcW w:w="2160" w:type="dxa"/>
          </w:tcPr>
          <w:p w14:paraId="1F2D61BC" w14:textId="77777777" w:rsidR="00161DE2" w:rsidRPr="00966214" w:rsidRDefault="00161DE2" w:rsidP="00233105">
            <w:r w:rsidRPr="00966214">
              <w:t>Score (0–10)</w:t>
            </w:r>
          </w:p>
        </w:tc>
        <w:tc>
          <w:tcPr>
            <w:tcW w:w="2160" w:type="dxa"/>
          </w:tcPr>
          <w:p w14:paraId="2B0B3F51" w14:textId="77777777" w:rsidR="00161DE2" w:rsidRPr="00966214" w:rsidRDefault="00161DE2" w:rsidP="00233105">
            <w:r w:rsidRPr="00966214">
              <w:t>Gewogen score</w:t>
            </w:r>
          </w:p>
        </w:tc>
      </w:tr>
      <w:tr w:rsidR="00161DE2" w:rsidRPr="00966214" w14:paraId="4685BEC9" w14:textId="77777777" w:rsidTr="00233105">
        <w:tc>
          <w:tcPr>
            <w:tcW w:w="2160" w:type="dxa"/>
          </w:tcPr>
          <w:p w14:paraId="405301EE" w14:textId="77777777" w:rsidR="00161DE2" w:rsidRPr="00966214" w:rsidRDefault="00161DE2" w:rsidP="00233105">
            <w:r w:rsidRPr="00966214">
              <w:t>Duurzaamheidsbeleid</w:t>
            </w:r>
          </w:p>
        </w:tc>
        <w:tc>
          <w:tcPr>
            <w:tcW w:w="2160" w:type="dxa"/>
          </w:tcPr>
          <w:p w14:paraId="4B7DE8F1" w14:textId="77777777" w:rsidR="00161DE2" w:rsidRPr="00966214" w:rsidRDefault="00161DE2" w:rsidP="00233105">
            <w:r w:rsidRPr="00966214">
              <w:t>40</w:t>
            </w:r>
          </w:p>
        </w:tc>
        <w:tc>
          <w:tcPr>
            <w:tcW w:w="2160" w:type="dxa"/>
          </w:tcPr>
          <w:p w14:paraId="385E4B74" w14:textId="77777777" w:rsidR="00161DE2" w:rsidRPr="00966214" w:rsidRDefault="00161DE2" w:rsidP="00233105">
            <w:r w:rsidRPr="00966214">
              <w:t>8</w:t>
            </w:r>
          </w:p>
        </w:tc>
        <w:tc>
          <w:tcPr>
            <w:tcW w:w="2160" w:type="dxa"/>
          </w:tcPr>
          <w:p w14:paraId="14817C2E" w14:textId="77777777" w:rsidR="00161DE2" w:rsidRPr="00966214" w:rsidRDefault="00161DE2" w:rsidP="00233105">
            <w:r w:rsidRPr="00966214">
              <w:t>3,2</w:t>
            </w:r>
          </w:p>
        </w:tc>
      </w:tr>
      <w:tr w:rsidR="00161DE2" w:rsidRPr="00966214" w14:paraId="7A16FD3A" w14:textId="77777777" w:rsidTr="00233105">
        <w:tc>
          <w:tcPr>
            <w:tcW w:w="2160" w:type="dxa"/>
          </w:tcPr>
          <w:p w14:paraId="13F50934" w14:textId="77777777" w:rsidR="00161DE2" w:rsidRPr="00966214" w:rsidRDefault="00161DE2" w:rsidP="00233105">
            <w:proofErr w:type="spellStart"/>
            <w:r w:rsidRPr="00966214">
              <w:t>Governance</w:t>
            </w:r>
            <w:proofErr w:type="spellEnd"/>
          </w:p>
        </w:tc>
        <w:tc>
          <w:tcPr>
            <w:tcW w:w="2160" w:type="dxa"/>
          </w:tcPr>
          <w:p w14:paraId="3A6EBDBF" w14:textId="77777777" w:rsidR="00161DE2" w:rsidRPr="00966214" w:rsidRDefault="00161DE2" w:rsidP="00233105">
            <w:r w:rsidRPr="00966214">
              <w:t>40</w:t>
            </w:r>
          </w:p>
        </w:tc>
        <w:tc>
          <w:tcPr>
            <w:tcW w:w="2160" w:type="dxa"/>
          </w:tcPr>
          <w:p w14:paraId="45722885" w14:textId="77777777" w:rsidR="00161DE2" w:rsidRPr="00966214" w:rsidRDefault="00161DE2" w:rsidP="00233105">
            <w:r w:rsidRPr="00966214">
              <w:t>8</w:t>
            </w:r>
          </w:p>
        </w:tc>
        <w:tc>
          <w:tcPr>
            <w:tcW w:w="2160" w:type="dxa"/>
          </w:tcPr>
          <w:p w14:paraId="478951E1" w14:textId="77777777" w:rsidR="00161DE2" w:rsidRPr="00966214" w:rsidRDefault="00161DE2" w:rsidP="00233105">
            <w:r w:rsidRPr="00966214">
              <w:t>3,2</w:t>
            </w:r>
          </w:p>
        </w:tc>
      </w:tr>
      <w:tr w:rsidR="00161DE2" w:rsidRPr="00966214" w14:paraId="4D019FB4" w14:textId="77777777" w:rsidTr="00233105">
        <w:tc>
          <w:tcPr>
            <w:tcW w:w="2160" w:type="dxa"/>
          </w:tcPr>
          <w:p w14:paraId="5EFD87C4" w14:textId="77777777" w:rsidR="00161DE2" w:rsidRPr="00966214" w:rsidRDefault="00161DE2" w:rsidP="00233105">
            <w:r w:rsidRPr="00966214">
              <w:t xml:space="preserve">Bad </w:t>
            </w:r>
            <w:proofErr w:type="spellStart"/>
            <w:r w:rsidRPr="00966214">
              <w:t>press</w:t>
            </w:r>
            <w:proofErr w:type="spellEnd"/>
          </w:p>
        </w:tc>
        <w:tc>
          <w:tcPr>
            <w:tcW w:w="2160" w:type="dxa"/>
          </w:tcPr>
          <w:p w14:paraId="3F4E410C" w14:textId="77777777" w:rsidR="00161DE2" w:rsidRPr="00966214" w:rsidRDefault="00161DE2" w:rsidP="00233105">
            <w:r w:rsidRPr="00966214">
              <w:t>20</w:t>
            </w:r>
          </w:p>
        </w:tc>
        <w:tc>
          <w:tcPr>
            <w:tcW w:w="2160" w:type="dxa"/>
          </w:tcPr>
          <w:p w14:paraId="382230D7" w14:textId="77777777" w:rsidR="00161DE2" w:rsidRPr="00966214" w:rsidRDefault="00161DE2" w:rsidP="00233105">
            <w:r w:rsidRPr="00966214">
              <w:t>6</w:t>
            </w:r>
          </w:p>
        </w:tc>
        <w:tc>
          <w:tcPr>
            <w:tcW w:w="2160" w:type="dxa"/>
          </w:tcPr>
          <w:p w14:paraId="12B88CE3" w14:textId="77777777" w:rsidR="00161DE2" w:rsidRPr="00966214" w:rsidRDefault="00161DE2" w:rsidP="00233105">
            <w:r w:rsidRPr="00966214">
              <w:t>1,2</w:t>
            </w:r>
          </w:p>
        </w:tc>
      </w:tr>
      <w:tr w:rsidR="00161DE2" w:rsidRPr="00966214" w14:paraId="75FBEF6D" w14:textId="77777777" w:rsidTr="00233105">
        <w:tc>
          <w:tcPr>
            <w:tcW w:w="2160" w:type="dxa"/>
          </w:tcPr>
          <w:p w14:paraId="5258A1EB" w14:textId="77777777" w:rsidR="00161DE2" w:rsidRPr="00966214" w:rsidRDefault="00161DE2" w:rsidP="00233105">
            <w:r w:rsidRPr="00966214">
              <w:t>Totaal</w:t>
            </w:r>
          </w:p>
        </w:tc>
        <w:tc>
          <w:tcPr>
            <w:tcW w:w="2160" w:type="dxa"/>
          </w:tcPr>
          <w:p w14:paraId="2D4892EF" w14:textId="77777777" w:rsidR="00161DE2" w:rsidRPr="00966214" w:rsidRDefault="00161DE2" w:rsidP="00233105">
            <w:r w:rsidRPr="00966214">
              <w:t>100</w:t>
            </w:r>
          </w:p>
        </w:tc>
        <w:tc>
          <w:tcPr>
            <w:tcW w:w="2160" w:type="dxa"/>
          </w:tcPr>
          <w:p w14:paraId="54399724" w14:textId="77777777" w:rsidR="00161DE2" w:rsidRPr="00966214" w:rsidRDefault="00161DE2" w:rsidP="00233105"/>
        </w:tc>
        <w:tc>
          <w:tcPr>
            <w:tcW w:w="2160" w:type="dxa"/>
          </w:tcPr>
          <w:p w14:paraId="40682262" w14:textId="77777777" w:rsidR="00161DE2" w:rsidRPr="00966214" w:rsidRDefault="00161DE2" w:rsidP="00233105">
            <w:r w:rsidRPr="00966214">
              <w:t>7,6</w:t>
            </w:r>
          </w:p>
        </w:tc>
      </w:tr>
    </w:tbl>
    <w:p w14:paraId="5D1D2307" w14:textId="77777777" w:rsidR="00161DE2" w:rsidRPr="00966214" w:rsidRDefault="00161DE2" w:rsidP="00161DE2">
      <w:pPr>
        <w:pStyle w:val="Kop2"/>
      </w:pPr>
      <w:bookmarkStart w:id="27" w:name="_Toc213749963"/>
      <w:r w:rsidRPr="00966214">
        <w:t>Toelichting per criterium</w:t>
      </w:r>
      <w:bookmarkEnd w:id="27"/>
    </w:p>
    <w:p w14:paraId="41D5BC41" w14:textId="77777777" w:rsidR="00161DE2" w:rsidRPr="00966214" w:rsidRDefault="00161DE2" w:rsidP="00161DE2">
      <w:r w:rsidRPr="00966214">
        <w:t>Duurzaamheidsbeleid (8/10): beleid en uitvoering zijn breed en openbaar, met actuele uitsluitingen, SFDR</w:t>
      </w:r>
      <w:r w:rsidRPr="00966214">
        <w:rPr>
          <w:rFonts w:ascii="Cambria Math" w:hAnsi="Cambria Math" w:cs="Cambria Math"/>
        </w:rPr>
        <w:t>‑</w:t>
      </w:r>
      <w:r w:rsidRPr="00966214">
        <w:t>duiding en TNFD</w:t>
      </w:r>
      <w:r w:rsidRPr="00966214">
        <w:rPr>
          <w:rFonts w:ascii="Cambria Math" w:hAnsi="Cambria Math" w:cs="Cambria Math"/>
        </w:rPr>
        <w:t>‑</w:t>
      </w:r>
      <w:r w:rsidRPr="00966214">
        <w:t>rapportage. Aanvullende winst is te behalen met verdere meting van reële impact.</w:t>
      </w:r>
    </w:p>
    <w:p w14:paraId="3FA3D4FE" w14:textId="77777777" w:rsidR="00161DE2" w:rsidRDefault="00161DE2" w:rsidP="00161DE2"/>
    <w:p w14:paraId="0B2EE3C7" w14:textId="77777777" w:rsidR="00161DE2" w:rsidRPr="00966214" w:rsidRDefault="00161DE2" w:rsidP="00161DE2">
      <w:proofErr w:type="spellStart"/>
      <w:r w:rsidRPr="00966214">
        <w:t>Governance</w:t>
      </w:r>
      <w:proofErr w:type="spellEnd"/>
      <w:r w:rsidRPr="00966214">
        <w:t xml:space="preserve"> (8/10): duidelijke rol van bestuur en commissies, variabele beloning onder voorwaarden en consistente rapportage. Aandachtspunt blijft de vertaling van beleid naar dagelijkse praktijk in alle fondsen.</w:t>
      </w:r>
    </w:p>
    <w:p w14:paraId="20E4F20E" w14:textId="77777777" w:rsidR="00161DE2" w:rsidRDefault="00161DE2" w:rsidP="00161DE2"/>
    <w:p w14:paraId="0A26D5BC" w14:textId="77777777" w:rsidR="00161DE2" w:rsidRDefault="00161DE2" w:rsidP="00161DE2">
      <w:r w:rsidRPr="00966214">
        <w:t xml:space="preserve">Bad </w:t>
      </w:r>
      <w:proofErr w:type="spellStart"/>
      <w:r w:rsidRPr="00966214">
        <w:t>press</w:t>
      </w:r>
      <w:proofErr w:type="spellEnd"/>
      <w:r w:rsidRPr="00966214">
        <w:t xml:space="preserve"> (6/10): algemene </w:t>
      </w:r>
      <w:proofErr w:type="spellStart"/>
      <w:r w:rsidRPr="00966214">
        <w:t>sectorbrede</w:t>
      </w:r>
      <w:proofErr w:type="spellEnd"/>
      <w:r w:rsidRPr="00966214">
        <w:t xml:space="preserve"> kritiek op ‘greenwashing’ en fossiele blootstelling; </w:t>
      </w:r>
      <w:proofErr w:type="spellStart"/>
      <w:r w:rsidRPr="00966214">
        <w:t>Candriam</w:t>
      </w:r>
      <w:proofErr w:type="spellEnd"/>
      <w:r w:rsidRPr="00966214">
        <w:t xml:space="preserve"> reageert hierop met extra transparantie en engagement.</w:t>
      </w:r>
    </w:p>
    <w:p w14:paraId="0EE24E30" w14:textId="77777777" w:rsidR="00161DE2" w:rsidRPr="00966214" w:rsidRDefault="00161DE2" w:rsidP="00161DE2">
      <w:pPr>
        <w:pStyle w:val="Kop1"/>
      </w:pPr>
      <w:bookmarkStart w:id="28" w:name="_Toc213749964"/>
      <w:r w:rsidRPr="00966214">
        <w:t>Algemen</w:t>
      </w:r>
      <w:r>
        <w:t>e</w:t>
      </w:r>
      <w:r w:rsidRPr="00966214">
        <w:t xml:space="preserve"> conclusie</w:t>
      </w:r>
      <w:bookmarkEnd w:id="28"/>
    </w:p>
    <w:p w14:paraId="1ADE4674" w14:textId="77777777" w:rsidR="00161DE2" w:rsidRPr="00966214" w:rsidRDefault="00161DE2" w:rsidP="00161DE2">
      <w:r w:rsidRPr="00966214">
        <w:t xml:space="preserve">Na het onderzoeken van de vier vermogensbeheerders; Robeco, BNP Paribas Asset Management, UBS Asset Management en </w:t>
      </w:r>
      <w:proofErr w:type="spellStart"/>
      <w:r w:rsidRPr="00966214">
        <w:t>Candriam</w:t>
      </w:r>
      <w:proofErr w:type="spellEnd"/>
      <w:r w:rsidRPr="00966214">
        <w:t>, het valt op dat ze allemaal duurzaamheid belangrijk vinden en dat het een vast onderdeel is van hun beleid. Toch zijn er duidelijke verschillen in hoe ver dat beleid echt is doorgevoerd en hoe transparant ze daarover zijn.</w:t>
      </w:r>
    </w:p>
    <w:p w14:paraId="5C41A0C3" w14:textId="77777777" w:rsidR="00161DE2" w:rsidRPr="00966214" w:rsidRDefault="00161DE2" w:rsidP="00161DE2"/>
    <w:p w14:paraId="5CC143C3" w14:textId="77777777" w:rsidR="00161DE2" w:rsidRPr="00966214" w:rsidRDefault="00161DE2" w:rsidP="00161DE2">
      <w:r w:rsidRPr="00966214">
        <w:t>Robeco valt op als de partij die dit het best op orde heeft. Ze hebben al jaren ervaring met duurzaam beleggen en pakken het ook echt serieus aan. Hun beleid is niet alleen duidelijk op papier, maar wordt ook goed uitgevoerd. Robeco laat in rapporten zien hoe ze bedrijven beoordelen op duurzaamheid en hoe ze actief in gesprek gaan om verbeteringen te bereiken. Daardoor komt het niet over als ‘greenwashing’, maar als iets wat echt in de praktijk leeft.</w:t>
      </w:r>
    </w:p>
    <w:p w14:paraId="7D517165" w14:textId="77777777" w:rsidR="00161DE2" w:rsidRPr="00966214" w:rsidRDefault="00161DE2" w:rsidP="00161DE2"/>
    <w:p w14:paraId="38781C90" w14:textId="77777777" w:rsidR="00161DE2" w:rsidRPr="00966214" w:rsidRDefault="00161DE2" w:rsidP="00161DE2">
      <w:r w:rsidRPr="00966214">
        <w:t xml:space="preserve">BNP Paribas Asset Management heeft ook een sterk duurzaamheidsbeleid en laat zien dat duurzaamheid belangrijk is binnen de hele groep. Toch is hun aanpak wat formeler </w:t>
      </w:r>
      <w:r w:rsidRPr="00966214">
        <w:lastRenderedPageBreak/>
        <w:t>en minder concreet op fonds- of productniveau. Daardoor voelt het soms wat afstandelijker.</w:t>
      </w:r>
    </w:p>
    <w:p w14:paraId="72EC974D" w14:textId="77777777" w:rsidR="00161DE2" w:rsidRPr="00966214" w:rsidRDefault="00161DE2" w:rsidP="00161DE2"/>
    <w:p w14:paraId="797560C0" w14:textId="77777777" w:rsidR="00161DE2" w:rsidRPr="00966214" w:rsidRDefault="00161DE2" w:rsidP="00161DE2">
      <w:r w:rsidRPr="00966214">
        <w:t>UBS Asset Management heeft een stevige structuur en duidelijke rapportages, maar kampt nog met de nasleep van de overname van Credit Suisse. Dat maakt hun beleid wat minder overzichtelijk, ook al is de intentie goed.</w:t>
      </w:r>
    </w:p>
    <w:p w14:paraId="270DA8A7" w14:textId="77777777" w:rsidR="00161DE2" w:rsidRPr="00966214" w:rsidRDefault="00161DE2" w:rsidP="00161DE2"/>
    <w:p w14:paraId="520BCEBB" w14:textId="77777777" w:rsidR="00161DE2" w:rsidRPr="00966214" w:rsidRDefault="00161DE2" w:rsidP="00161DE2">
      <w:proofErr w:type="spellStart"/>
      <w:r w:rsidRPr="00966214">
        <w:t>Candriam</w:t>
      </w:r>
      <w:proofErr w:type="spellEnd"/>
      <w:r w:rsidRPr="00966214">
        <w:t xml:space="preserve"> doet veel met duurzaamheid en communiceert daar ook open over. Ze hebben een uitgebreid uitsluitingsbeleid en veel rapportages, maar de daadwerkelijke impact van hun beleggingen is soms moeilijk te beoordelen. Er is regelmatig discussie over hoe ‘groen’ hun fondsen in de praktijk zijn.</w:t>
      </w:r>
    </w:p>
    <w:p w14:paraId="2A06C163" w14:textId="77777777" w:rsidR="00161DE2" w:rsidRPr="00966214" w:rsidRDefault="00161DE2" w:rsidP="00161DE2">
      <w:pPr>
        <w:pStyle w:val="Kop1"/>
      </w:pPr>
      <w:bookmarkStart w:id="29" w:name="_Toc213749965"/>
      <w:r w:rsidRPr="00966214">
        <w:t>Keuze voor Robeco</w:t>
      </w:r>
      <w:bookmarkEnd w:id="29"/>
    </w:p>
    <w:p w14:paraId="6035CA8E" w14:textId="77777777" w:rsidR="00161DE2" w:rsidRPr="00966214" w:rsidRDefault="00161DE2" w:rsidP="00161DE2">
      <w:r w:rsidRPr="00966214">
        <w:t>Na het vergelijken van alle partijen is Robeco voor mij de meest logische en sterke keuze. Ze hebben duurzaamheid al heel lang geïntegreerd in hun beleggingsstrategie en tonen dat aan met duidelijke resultaten. Hun rapportages zijn overzichtelijk, concreet en betrouwbaar. Wat ze beloven, maken ze ook waar.</w:t>
      </w:r>
    </w:p>
    <w:p w14:paraId="0AA89064" w14:textId="77777777" w:rsidR="00161DE2" w:rsidRPr="00966214" w:rsidRDefault="00161DE2" w:rsidP="00161DE2"/>
    <w:p w14:paraId="7FB807E4" w14:textId="77777777" w:rsidR="00161DE2" w:rsidRPr="00966214" w:rsidRDefault="00161DE2" w:rsidP="00161DE2">
      <w:r w:rsidRPr="00966214">
        <w:t>Daarnaast is hun manier van communiceren naar beleggers transparant en begrijpelijk. Ze leggen goed uit hoe beslissingen worden genomen en hoe duurzaamheidscriteria echt invloed hebben op hun beleggingskeuzes. Ook op het gebied van bestuur en interne controle is Robeco stabiel en professioneel.</w:t>
      </w:r>
    </w:p>
    <w:p w14:paraId="5213C58A" w14:textId="77777777" w:rsidR="00161DE2" w:rsidRPr="00966214" w:rsidRDefault="00161DE2" w:rsidP="00161DE2"/>
    <w:p w14:paraId="5B8E27F5" w14:textId="77777777" w:rsidR="00161DE2" w:rsidRDefault="00161DE2" w:rsidP="00161DE2">
      <w:r w:rsidRPr="00966214">
        <w:t>Vergeleken met de andere drie scoort Robeco gewoon het best op duidelijk beleid, transparantie en uitvoering. Ze doen wat ze zeggen, hebben weinig reputatieproblemen en zijn inhoudelijk sterk onderbouwd. Daardoor zie ik Robeco als de meest betrouwbare en toekomstgerichte vermogensbeheerder van de vier.</w:t>
      </w:r>
    </w:p>
    <w:p w14:paraId="779FC043" w14:textId="77777777" w:rsidR="00161DE2" w:rsidRDefault="00161DE2" w:rsidP="00161DE2"/>
    <w:p w14:paraId="469FB783" w14:textId="77777777" w:rsidR="00161DE2" w:rsidRDefault="00161DE2" w:rsidP="00161DE2"/>
    <w:p w14:paraId="784FE917" w14:textId="77777777" w:rsidR="00161DE2" w:rsidRDefault="00161DE2" w:rsidP="00161DE2"/>
    <w:p w14:paraId="2CAE02A7" w14:textId="77777777" w:rsidR="00161DE2" w:rsidRDefault="00161DE2" w:rsidP="00161DE2"/>
    <w:p w14:paraId="2AA89EB4" w14:textId="77777777" w:rsidR="00161DE2" w:rsidRDefault="00161DE2" w:rsidP="00161DE2"/>
    <w:p w14:paraId="2CD786E1" w14:textId="77777777" w:rsidR="00161DE2" w:rsidRDefault="00161DE2" w:rsidP="00161DE2"/>
    <w:p w14:paraId="635E2593" w14:textId="77777777" w:rsidR="00161DE2" w:rsidRPr="00994CB0" w:rsidRDefault="00161DE2" w:rsidP="00161DE2">
      <w:pPr>
        <w:pStyle w:val="Kop1"/>
      </w:pPr>
      <w:bookmarkStart w:id="30" w:name="_Toc213749966"/>
      <w:r w:rsidRPr="00994CB0">
        <w:lastRenderedPageBreak/>
        <w:t>Bronnen</w:t>
      </w:r>
      <w:bookmarkEnd w:id="30"/>
    </w:p>
    <w:p w14:paraId="2DD46F51" w14:textId="77777777" w:rsidR="00161DE2" w:rsidRPr="00966214" w:rsidRDefault="00161DE2" w:rsidP="00161DE2">
      <w:pPr>
        <w:pStyle w:val="Lijstopsomteken"/>
        <w:numPr>
          <w:ilvl w:val="0"/>
          <w:numId w:val="6"/>
        </w:numPr>
        <w:rPr>
          <w:sz w:val="24"/>
          <w:szCs w:val="24"/>
        </w:rPr>
      </w:pPr>
      <w:r w:rsidRPr="00966214">
        <w:rPr>
          <w:sz w:val="24"/>
          <w:szCs w:val="24"/>
          <w:lang w:val="nl-NL"/>
        </w:rPr>
        <w:t xml:space="preserve">AFM. (2022a, 31 maart). Boete voor Robeco wegens overtreding </w:t>
      </w:r>
      <w:proofErr w:type="spellStart"/>
      <w:r w:rsidRPr="00966214">
        <w:rPr>
          <w:sz w:val="24"/>
          <w:szCs w:val="24"/>
          <w:lang w:val="nl-NL"/>
        </w:rPr>
        <w:t>Wwft</w:t>
      </w:r>
      <w:proofErr w:type="spellEnd"/>
      <w:r w:rsidRPr="00966214">
        <w:rPr>
          <w:sz w:val="24"/>
          <w:szCs w:val="24"/>
          <w:lang w:val="nl-NL"/>
        </w:rPr>
        <w:t xml:space="preserve">.  </w:t>
      </w:r>
      <w:hyperlink r:id="rId13" w:history="1">
        <w:r w:rsidRPr="00966214">
          <w:rPr>
            <w:rStyle w:val="Hyperlink"/>
            <w:sz w:val="24"/>
            <w:szCs w:val="24"/>
          </w:rPr>
          <w:t>https://www.afm.nl/nl-nl/sector/actueel/2022/april/boete-robeco</w:t>
        </w:r>
      </w:hyperlink>
    </w:p>
    <w:p w14:paraId="49BF3404" w14:textId="77777777" w:rsidR="00161DE2" w:rsidRPr="00161DE2" w:rsidRDefault="00161DE2" w:rsidP="00161DE2">
      <w:pPr>
        <w:pStyle w:val="Lijstopsomteken"/>
        <w:numPr>
          <w:ilvl w:val="0"/>
          <w:numId w:val="6"/>
        </w:numPr>
        <w:rPr>
          <w:sz w:val="24"/>
          <w:szCs w:val="24"/>
        </w:rPr>
      </w:pPr>
      <w:r w:rsidRPr="00966214">
        <w:rPr>
          <w:sz w:val="24"/>
          <w:szCs w:val="24"/>
          <w:lang w:val="nl-NL"/>
        </w:rPr>
        <w:t xml:space="preserve">AFM. (2022b, 12 juli). AFM: Robeco voldoet aan last onder dwangsom. </w:t>
      </w:r>
      <w:hyperlink r:id="rId14" w:history="1">
        <w:r w:rsidRPr="00161DE2">
          <w:rPr>
            <w:rStyle w:val="Hyperlink"/>
            <w:sz w:val="24"/>
            <w:szCs w:val="24"/>
          </w:rPr>
          <w:t>https://www.afm.nl/nl-nl/sector/actueel/2022/juli/lod-riam</w:t>
        </w:r>
      </w:hyperlink>
    </w:p>
    <w:p w14:paraId="473B6321" w14:textId="77777777" w:rsidR="00161DE2" w:rsidRPr="00161DE2" w:rsidRDefault="00161DE2" w:rsidP="00161DE2">
      <w:pPr>
        <w:pStyle w:val="Lijstopsomteken"/>
        <w:numPr>
          <w:ilvl w:val="0"/>
          <w:numId w:val="6"/>
        </w:numPr>
        <w:rPr>
          <w:sz w:val="24"/>
          <w:szCs w:val="24"/>
          <w:lang w:val="nl-NL"/>
        </w:rPr>
      </w:pPr>
      <w:r w:rsidRPr="00966214">
        <w:rPr>
          <w:sz w:val="24"/>
          <w:szCs w:val="24"/>
        </w:rPr>
        <w:t xml:space="preserve">BNP Paribas Asset Management. (2023a). Global Sustainability Strategy 2023–2025. </w:t>
      </w:r>
      <w:r w:rsidRPr="00161DE2">
        <w:rPr>
          <w:sz w:val="24"/>
          <w:szCs w:val="24"/>
          <w:lang w:val="nl-NL"/>
        </w:rPr>
        <w:t xml:space="preserve">Geraadpleegd van </w:t>
      </w:r>
      <w:hyperlink r:id="rId15" w:history="1">
        <w:r w:rsidRPr="00161DE2">
          <w:rPr>
            <w:rStyle w:val="Hyperlink"/>
            <w:sz w:val="24"/>
            <w:szCs w:val="24"/>
            <w:lang w:val="nl-NL"/>
          </w:rPr>
          <w:t>https://docfinder.bnpparibas-am.com/api/files/4b10d1ad-901d-4bbe-8a7c-007ad48c450e</w:t>
        </w:r>
      </w:hyperlink>
    </w:p>
    <w:p w14:paraId="4C56D57C" w14:textId="77777777" w:rsidR="00161DE2" w:rsidRPr="00966214" w:rsidRDefault="00161DE2" w:rsidP="00161DE2">
      <w:pPr>
        <w:pStyle w:val="Lijstopsomteken"/>
        <w:numPr>
          <w:ilvl w:val="0"/>
          <w:numId w:val="6"/>
        </w:numPr>
        <w:rPr>
          <w:sz w:val="24"/>
          <w:szCs w:val="24"/>
        </w:rPr>
      </w:pPr>
      <w:r w:rsidRPr="00966214">
        <w:rPr>
          <w:sz w:val="24"/>
          <w:szCs w:val="24"/>
        </w:rPr>
        <w:t xml:space="preserve">BNP Paribas Asset Management. (2024a). Sustainability Report 2024. </w:t>
      </w:r>
      <w:hyperlink r:id="rId16" w:history="1">
        <w:r w:rsidRPr="00966214">
          <w:rPr>
            <w:rStyle w:val="Hyperlink"/>
            <w:sz w:val="24"/>
            <w:szCs w:val="24"/>
          </w:rPr>
          <w:t>https://docfinder.bnpparibas-am.com/api/files/0da3f989-0e88-4a27-b6a2-9ad58fd59a2f</w:t>
        </w:r>
      </w:hyperlink>
    </w:p>
    <w:p w14:paraId="3A48D07C" w14:textId="77777777" w:rsidR="00161DE2" w:rsidRPr="00966214" w:rsidRDefault="00161DE2" w:rsidP="00161DE2">
      <w:pPr>
        <w:pStyle w:val="Lijstopsomteken"/>
        <w:numPr>
          <w:ilvl w:val="0"/>
          <w:numId w:val="6"/>
        </w:numPr>
        <w:rPr>
          <w:sz w:val="24"/>
          <w:szCs w:val="24"/>
        </w:rPr>
      </w:pPr>
      <w:r w:rsidRPr="00161DE2">
        <w:rPr>
          <w:sz w:val="24"/>
          <w:szCs w:val="24"/>
          <w:lang w:val="fr-FR"/>
        </w:rPr>
        <w:t xml:space="preserve">BNP Paribas Asset Management. (2024b). </w:t>
      </w:r>
      <w:r w:rsidRPr="00966214">
        <w:rPr>
          <w:sz w:val="24"/>
          <w:szCs w:val="24"/>
        </w:rPr>
        <w:t xml:space="preserve">Responsible Business Conduct Policy. </w:t>
      </w:r>
      <w:proofErr w:type="spellStart"/>
      <w:r w:rsidRPr="00966214">
        <w:rPr>
          <w:sz w:val="24"/>
          <w:szCs w:val="24"/>
        </w:rPr>
        <w:t>Geraadpleegd</w:t>
      </w:r>
      <w:proofErr w:type="spellEnd"/>
      <w:r w:rsidRPr="00966214">
        <w:rPr>
          <w:sz w:val="24"/>
          <w:szCs w:val="24"/>
        </w:rPr>
        <w:t xml:space="preserve"> van </w:t>
      </w:r>
      <w:hyperlink r:id="rId17" w:history="1">
        <w:r w:rsidRPr="00966214">
          <w:rPr>
            <w:rStyle w:val="Hyperlink"/>
            <w:sz w:val="24"/>
            <w:szCs w:val="24"/>
          </w:rPr>
          <w:t>https://docfinder.bnpparibas-am.com/api/files/d8e2b165-c94f-413e-be2e-154b83bd4e9b</w:t>
        </w:r>
      </w:hyperlink>
    </w:p>
    <w:p w14:paraId="1673081B" w14:textId="77777777" w:rsidR="00161DE2" w:rsidRPr="00966214" w:rsidRDefault="00161DE2" w:rsidP="00161DE2">
      <w:pPr>
        <w:pStyle w:val="Lijstopsomteken"/>
        <w:numPr>
          <w:ilvl w:val="0"/>
          <w:numId w:val="6"/>
        </w:numPr>
        <w:rPr>
          <w:sz w:val="24"/>
          <w:szCs w:val="24"/>
        </w:rPr>
      </w:pPr>
      <w:r w:rsidRPr="00161DE2">
        <w:rPr>
          <w:sz w:val="24"/>
          <w:szCs w:val="24"/>
          <w:lang w:val="fr-FR"/>
        </w:rPr>
        <w:t xml:space="preserve">BNP Paribas Asset Management. (2024c). </w:t>
      </w:r>
      <w:r w:rsidRPr="00966214">
        <w:rPr>
          <w:sz w:val="24"/>
          <w:szCs w:val="24"/>
        </w:rPr>
        <w:t xml:space="preserve">Remuneration Policy. </w:t>
      </w:r>
      <w:hyperlink r:id="rId18" w:history="1">
        <w:r w:rsidRPr="00966214">
          <w:rPr>
            <w:rStyle w:val="Hyperlink"/>
            <w:sz w:val="24"/>
            <w:szCs w:val="24"/>
          </w:rPr>
          <w:t>https://www.bnpparibas-am.com/en/remuneration-policy/</w:t>
        </w:r>
      </w:hyperlink>
    </w:p>
    <w:p w14:paraId="560AAC3B" w14:textId="77777777" w:rsidR="00161DE2" w:rsidRPr="00966214" w:rsidRDefault="00161DE2" w:rsidP="00161DE2">
      <w:pPr>
        <w:pStyle w:val="Lijstopsomteken"/>
        <w:numPr>
          <w:ilvl w:val="0"/>
          <w:numId w:val="6"/>
        </w:numPr>
        <w:rPr>
          <w:sz w:val="24"/>
          <w:szCs w:val="24"/>
          <w:lang w:val="nl-NL"/>
        </w:rPr>
      </w:pPr>
      <w:r w:rsidRPr="00966214">
        <w:rPr>
          <w:sz w:val="24"/>
          <w:szCs w:val="24"/>
        </w:rPr>
        <w:t xml:space="preserve">BNP Paribas Group. (2023a). 2023 Integrated Report. </w:t>
      </w:r>
      <w:hyperlink r:id="rId19" w:history="1">
        <w:r w:rsidRPr="00966214">
          <w:rPr>
            <w:rStyle w:val="Hyperlink"/>
            <w:sz w:val="24"/>
            <w:szCs w:val="24"/>
            <w:lang w:val="nl-NL"/>
          </w:rPr>
          <w:t>https://integrated-report.bnpparibas/2023/article/1/</w:t>
        </w:r>
      </w:hyperlink>
    </w:p>
    <w:p w14:paraId="727E24A7" w14:textId="77777777" w:rsidR="00161DE2" w:rsidRPr="00966214" w:rsidRDefault="00161DE2" w:rsidP="00161DE2">
      <w:pPr>
        <w:pStyle w:val="Lijstopsomteken"/>
        <w:numPr>
          <w:ilvl w:val="0"/>
          <w:numId w:val="6"/>
        </w:numPr>
        <w:rPr>
          <w:sz w:val="24"/>
          <w:szCs w:val="24"/>
          <w:lang w:val="nl-NL"/>
        </w:rPr>
      </w:pPr>
      <w:r w:rsidRPr="00161DE2">
        <w:rPr>
          <w:sz w:val="24"/>
          <w:szCs w:val="24"/>
          <w:lang w:val="nl-NL"/>
        </w:rPr>
        <w:t xml:space="preserve">BNP Paribas Group. (2023b). Universal </w:t>
      </w:r>
      <w:proofErr w:type="spellStart"/>
      <w:r w:rsidRPr="00161DE2">
        <w:rPr>
          <w:sz w:val="24"/>
          <w:szCs w:val="24"/>
          <w:lang w:val="nl-NL"/>
        </w:rPr>
        <w:t>Registration</w:t>
      </w:r>
      <w:proofErr w:type="spellEnd"/>
      <w:r w:rsidRPr="00161DE2">
        <w:rPr>
          <w:sz w:val="24"/>
          <w:szCs w:val="24"/>
          <w:lang w:val="nl-NL"/>
        </w:rPr>
        <w:t xml:space="preserve"> Document &amp; </w:t>
      </w:r>
      <w:proofErr w:type="spellStart"/>
      <w:r w:rsidRPr="00161DE2">
        <w:rPr>
          <w:sz w:val="24"/>
          <w:szCs w:val="24"/>
          <w:lang w:val="nl-NL"/>
        </w:rPr>
        <w:t>Annual</w:t>
      </w:r>
      <w:proofErr w:type="spellEnd"/>
      <w:r w:rsidRPr="00161DE2">
        <w:rPr>
          <w:sz w:val="24"/>
          <w:szCs w:val="24"/>
          <w:lang w:val="nl-NL"/>
        </w:rPr>
        <w:t xml:space="preserve"> Financial Report 2023. </w:t>
      </w:r>
      <w:hyperlink r:id="rId20" w:history="1">
        <w:r w:rsidRPr="00966214">
          <w:rPr>
            <w:rStyle w:val="Hyperlink"/>
            <w:sz w:val="24"/>
            <w:szCs w:val="24"/>
            <w:lang w:val="nl-NL"/>
          </w:rPr>
          <w:t>https://derivate.bnpparibas.com/siteassets/basisprospekte/registrierungsformulare-bnpp-s.a/universal-registration-document-annual-financial-report-2023.pdf</w:t>
        </w:r>
      </w:hyperlink>
    </w:p>
    <w:p w14:paraId="6C5116F9" w14:textId="77777777" w:rsidR="00161DE2" w:rsidRPr="00966214" w:rsidRDefault="00161DE2" w:rsidP="00161DE2">
      <w:pPr>
        <w:pStyle w:val="Lijstopsomteken"/>
        <w:numPr>
          <w:ilvl w:val="0"/>
          <w:numId w:val="6"/>
        </w:numPr>
        <w:rPr>
          <w:sz w:val="24"/>
          <w:szCs w:val="24"/>
          <w:lang w:val="nl-NL"/>
        </w:rPr>
      </w:pPr>
      <w:proofErr w:type="spellStart"/>
      <w:r w:rsidRPr="00966214">
        <w:rPr>
          <w:sz w:val="24"/>
          <w:szCs w:val="24"/>
        </w:rPr>
        <w:t>Candriam</w:t>
      </w:r>
      <w:proofErr w:type="spellEnd"/>
      <w:r w:rsidRPr="00966214">
        <w:rPr>
          <w:sz w:val="24"/>
          <w:szCs w:val="24"/>
        </w:rPr>
        <w:t xml:space="preserve">. (2023a). SFDR – Sustainable Finance Disclosures. </w:t>
      </w:r>
      <w:hyperlink r:id="rId21" w:history="1">
        <w:r w:rsidRPr="00966214">
          <w:rPr>
            <w:rStyle w:val="Hyperlink"/>
            <w:sz w:val="24"/>
            <w:szCs w:val="24"/>
            <w:lang w:val="nl-NL"/>
          </w:rPr>
          <w:t>https://www.candriam.com/en/professional/sfdr/</w:t>
        </w:r>
      </w:hyperlink>
    </w:p>
    <w:p w14:paraId="7DEB357B" w14:textId="77777777" w:rsidR="00161DE2" w:rsidRPr="00966214" w:rsidRDefault="00161DE2" w:rsidP="00161DE2">
      <w:pPr>
        <w:pStyle w:val="Lijstopsomteken"/>
        <w:numPr>
          <w:ilvl w:val="0"/>
          <w:numId w:val="6"/>
        </w:numPr>
        <w:rPr>
          <w:sz w:val="24"/>
          <w:szCs w:val="24"/>
          <w:lang w:val="nl-NL"/>
        </w:rPr>
      </w:pPr>
      <w:proofErr w:type="spellStart"/>
      <w:r w:rsidRPr="00966214">
        <w:rPr>
          <w:sz w:val="24"/>
          <w:szCs w:val="24"/>
        </w:rPr>
        <w:t>Candriam</w:t>
      </w:r>
      <w:proofErr w:type="spellEnd"/>
      <w:r w:rsidRPr="00966214">
        <w:rPr>
          <w:sz w:val="24"/>
          <w:szCs w:val="24"/>
        </w:rPr>
        <w:t xml:space="preserve">. (2024a). Sustainability documents – </w:t>
      </w:r>
      <w:proofErr w:type="spellStart"/>
      <w:r w:rsidRPr="00966214">
        <w:rPr>
          <w:sz w:val="24"/>
          <w:szCs w:val="24"/>
        </w:rPr>
        <w:t>overzichtspagina</w:t>
      </w:r>
      <w:proofErr w:type="spellEnd"/>
      <w:r w:rsidRPr="00966214">
        <w:rPr>
          <w:sz w:val="24"/>
          <w:szCs w:val="24"/>
        </w:rPr>
        <w:t xml:space="preserve">. </w:t>
      </w:r>
      <w:hyperlink r:id="rId22" w:history="1">
        <w:r w:rsidRPr="00966214">
          <w:rPr>
            <w:rStyle w:val="Hyperlink"/>
            <w:sz w:val="24"/>
            <w:szCs w:val="24"/>
            <w:lang w:val="nl-NL"/>
          </w:rPr>
          <w:t>https://www.candriam.com/en-nl/professional/investment-solutions/sustainability-documents/</w:t>
        </w:r>
      </w:hyperlink>
    </w:p>
    <w:p w14:paraId="436FA698" w14:textId="77777777" w:rsidR="00161DE2" w:rsidRPr="00161DE2" w:rsidRDefault="00161DE2" w:rsidP="00161DE2">
      <w:pPr>
        <w:pStyle w:val="Lijstopsomteken"/>
        <w:numPr>
          <w:ilvl w:val="0"/>
          <w:numId w:val="6"/>
        </w:numPr>
        <w:rPr>
          <w:sz w:val="24"/>
          <w:szCs w:val="24"/>
          <w:lang w:val="it-IT"/>
        </w:rPr>
      </w:pPr>
      <w:proofErr w:type="spellStart"/>
      <w:r w:rsidRPr="00161DE2">
        <w:rPr>
          <w:sz w:val="24"/>
          <w:szCs w:val="24"/>
          <w:lang w:val="it-IT"/>
        </w:rPr>
        <w:t>Candriam</w:t>
      </w:r>
      <w:proofErr w:type="spellEnd"/>
      <w:r w:rsidRPr="00161DE2">
        <w:rPr>
          <w:sz w:val="24"/>
          <w:szCs w:val="24"/>
          <w:lang w:val="it-IT"/>
        </w:rPr>
        <w:t>. (2024b). TNFD-</w:t>
      </w:r>
      <w:proofErr w:type="spellStart"/>
      <w:r w:rsidRPr="00161DE2">
        <w:rPr>
          <w:sz w:val="24"/>
          <w:szCs w:val="24"/>
          <w:lang w:val="it-IT"/>
        </w:rPr>
        <w:t>rapport</w:t>
      </w:r>
      <w:proofErr w:type="spellEnd"/>
      <w:r w:rsidRPr="00161DE2">
        <w:rPr>
          <w:sz w:val="24"/>
          <w:szCs w:val="24"/>
          <w:lang w:val="it-IT"/>
        </w:rPr>
        <w:t xml:space="preserve"> 2024. </w:t>
      </w:r>
      <w:hyperlink r:id="rId23" w:history="1">
        <w:r w:rsidRPr="00161DE2">
          <w:rPr>
            <w:rStyle w:val="Hyperlink"/>
            <w:sz w:val="24"/>
            <w:szCs w:val="24"/>
            <w:lang w:val="it-IT"/>
          </w:rPr>
          <w:t>https://www.candriam.com/siteassets/medias/insights/sfdr-publications/2024_tnfd_report_final.pdf</w:t>
        </w:r>
      </w:hyperlink>
    </w:p>
    <w:p w14:paraId="2D56F940" w14:textId="77777777" w:rsidR="00161DE2" w:rsidRPr="00161DE2" w:rsidRDefault="00161DE2" w:rsidP="00161DE2">
      <w:pPr>
        <w:pStyle w:val="Lijstopsomteken"/>
        <w:numPr>
          <w:ilvl w:val="0"/>
          <w:numId w:val="6"/>
        </w:numPr>
        <w:rPr>
          <w:sz w:val="24"/>
          <w:szCs w:val="24"/>
        </w:rPr>
      </w:pPr>
      <w:proofErr w:type="spellStart"/>
      <w:r w:rsidRPr="00966214">
        <w:rPr>
          <w:sz w:val="24"/>
          <w:szCs w:val="24"/>
          <w:lang w:val="nl-NL"/>
        </w:rPr>
        <w:t>Candriam</w:t>
      </w:r>
      <w:proofErr w:type="spellEnd"/>
      <w:r w:rsidRPr="00966214">
        <w:rPr>
          <w:sz w:val="24"/>
          <w:szCs w:val="24"/>
          <w:lang w:val="nl-NL"/>
        </w:rPr>
        <w:t xml:space="preserve">. (2024c). CSR-verslag 2024 – </w:t>
      </w:r>
      <w:proofErr w:type="spellStart"/>
      <w:r w:rsidRPr="00966214">
        <w:rPr>
          <w:sz w:val="24"/>
          <w:szCs w:val="24"/>
          <w:lang w:val="nl-NL"/>
        </w:rPr>
        <w:t>Governance</w:t>
      </w:r>
      <w:proofErr w:type="spellEnd"/>
      <w:r w:rsidRPr="00966214">
        <w:rPr>
          <w:sz w:val="24"/>
          <w:szCs w:val="24"/>
          <w:lang w:val="nl-NL"/>
        </w:rPr>
        <w:t xml:space="preserve">-sectie. </w:t>
      </w:r>
      <w:hyperlink r:id="rId24" w:history="1">
        <w:r w:rsidRPr="00161DE2">
          <w:rPr>
            <w:rStyle w:val="Hyperlink"/>
            <w:sz w:val="24"/>
            <w:szCs w:val="24"/>
          </w:rPr>
          <w:t>https://csr.candriam.com/pdf/Candriam_2024_CSR%20Report_SECTION-GOVERNANCE.pdf</w:t>
        </w:r>
      </w:hyperlink>
    </w:p>
    <w:p w14:paraId="7CA4D288" w14:textId="77777777" w:rsidR="00161DE2" w:rsidRPr="00161DE2" w:rsidRDefault="00161DE2" w:rsidP="00161DE2">
      <w:pPr>
        <w:pStyle w:val="Lijstopsomteken"/>
        <w:numPr>
          <w:ilvl w:val="0"/>
          <w:numId w:val="6"/>
        </w:numPr>
        <w:rPr>
          <w:sz w:val="24"/>
          <w:szCs w:val="24"/>
        </w:rPr>
      </w:pPr>
      <w:proofErr w:type="spellStart"/>
      <w:r w:rsidRPr="00966214">
        <w:rPr>
          <w:sz w:val="24"/>
          <w:szCs w:val="24"/>
        </w:rPr>
        <w:t>Candriam</w:t>
      </w:r>
      <w:proofErr w:type="spellEnd"/>
      <w:r w:rsidRPr="00966214">
        <w:rPr>
          <w:sz w:val="24"/>
          <w:szCs w:val="24"/>
        </w:rPr>
        <w:t xml:space="preserve">. (2024d). Proxy Voting Policy 2024. </w:t>
      </w:r>
      <w:hyperlink r:id="rId25" w:history="1">
        <w:r w:rsidRPr="00161DE2">
          <w:rPr>
            <w:rStyle w:val="Hyperlink"/>
            <w:sz w:val="24"/>
            <w:szCs w:val="24"/>
          </w:rPr>
          <w:t>https://www.candriam.com/siteassets/medias/publications/brochure/corporate-brochures-and-reports/proxy-voting/proxy_voting_policy_2024.pdf</w:t>
        </w:r>
      </w:hyperlink>
    </w:p>
    <w:p w14:paraId="5A2D93C8" w14:textId="77777777" w:rsidR="00161DE2" w:rsidRPr="00161DE2" w:rsidRDefault="00161DE2" w:rsidP="00161DE2">
      <w:pPr>
        <w:pStyle w:val="Lijstopsomteken"/>
        <w:numPr>
          <w:ilvl w:val="0"/>
          <w:numId w:val="6"/>
        </w:numPr>
        <w:rPr>
          <w:sz w:val="24"/>
          <w:szCs w:val="24"/>
        </w:rPr>
      </w:pPr>
      <w:proofErr w:type="spellStart"/>
      <w:r w:rsidRPr="00966214">
        <w:rPr>
          <w:sz w:val="24"/>
          <w:szCs w:val="24"/>
          <w:lang w:val="nl-NL"/>
        </w:rPr>
        <w:t>Candriam</w:t>
      </w:r>
      <w:proofErr w:type="spellEnd"/>
      <w:r w:rsidRPr="00966214">
        <w:rPr>
          <w:sz w:val="24"/>
          <w:szCs w:val="24"/>
          <w:lang w:val="nl-NL"/>
        </w:rPr>
        <w:t xml:space="preserve">. (2024e). Engagement Report 2024 (statistieken en methodiek). </w:t>
      </w:r>
      <w:hyperlink r:id="rId26" w:history="1">
        <w:r w:rsidRPr="00161DE2">
          <w:rPr>
            <w:rStyle w:val="Hyperlink"/>
            <w:sz w:val="24"/>
            <w:szCs w:val="24"/>
          </w:rPr>
          <w:t>https://www.candriam.com/siteassets/medias/publications/sri-publications---candriam-policies/engagement-report-2024.pdf</w:t>
        </w:r>
      </w:hyperlink>
    </w:p>
    <w:p w14:paraId="218B3A8C" w14:textId="77777777" w:rsidR="00161DE2" w:rsidRPr="00966214" w:rsidRDefault="00161DE2" w:rsidP="00161DE2">
      <w:pPr>
        <w:pStyle w:val="Lijstopsomteken"/>
        <w:numPr>
          <w:ilvl w:val="0"/>
          <w:numId w:val="6"/>
        </w:numPr>
        <w:rPr>
          <w:sz w:val="24"/>
          <w:szCs w:val="24"/>
        </w:rPr>
      </w:pPr>
      <w:proofErr w:type="spellStart"/>
      <w:r w:rsidRPr="00966214">
        <w:rPr>
          <w:sz w:val="24"/>
          <w:szCs w:val="24"/>
        </w:rPr>
        <w:lastRenderedPageBreak/>
        <w:t>Candriam</w:t>
      </w:r>
      <w:proofErr w:type="spellEnd"/>
      <w:r w:rsidRPr="00966214">
        <w:rPr>
          <w:sz w:val="24"/>
          <w:szCs w:val="24"/>
        </w:rPr>
        <w:t>. (2025a). Exclusion Policy (</w:t>
      </w:r>
      <w:proofErr w:type="spellStart"/>
      <w:r w:rsidRPr="00966214">
        <w:rPr>
          <w:sz w:val="24"/>
          <w:szCs w:val="24"/>
        </w:rPr>
        <w:t>oktober</w:t>
      </w:r>
      <w:proofErr w:type="spellEnd"/>
      <w:r w:rsidRPr="00966214">
        <w:rPr>
          <w:sz w:val="24"/>
          <w:szCs w:val="24"/>
        </w:rPr>
        <w:t xml:space="preserve"> 2025). </w:t>
      </w:r>
      <w:hyperlink r:id="rId27" w:history="1">
        <w:r w:rsidRPr="00966214">
          <w:rPr>
            <w:rStyle w:val="Hyperlink"/>
            <w:sz w:val="24"/>
            <w:szCs w:val="24"/>
          </w:rPr>
          <w:t>https://www.candriam.com/siteassets/medias/publications/brochure/corporate-brochures-and-reports/exclusion-policy/candriam-exclusion-policy-en.pdf</w:t>
        </w:r>
      </w:hyperlink>
    </w:p>
    <w:p w14:paraId="7551CCFF" w14:textId="77777777" w:rsidR="00161DE2" w:rsidRPr="00161DE2" w:rsidRDefault="00161DE2" w:rsidP="00161DE2">
      <w:pPr>
        <w:pStyle w:val="Lijstopsomteken"/>
        <w:numPr>
          <w:ilvl w:val="0"/>
          <w:numId w:val="6"/>
        </w:numPr>
        <w:rPr>
          <w:sz w:val="24"/>
          <w:szCs w:val="24"/>
        </w:rPr>
      </w:pPr>
      <w:proofErr w:type="spellStart"/>
      <w:r w:rsidRPr="00966214">
        <w:rPr>
          <w:sz w:val="24"/>
          <w:szCs w:val="24"/>
        </w:rPr>
        <w:t>Candriam</w:t>
      </w:r>
      <w:proofErr w:type="spellEnd"/>
      <w:r w:rsidRPr="00966214">
        <w:rPr>
          <w:sz w:val="24"/>
          <w:szCs w:val="24"/>
        </w:rPr>
        <w:t>. (2025b). Annual Engagement &amp; Voting Report 2024 (</w:t>
      </w:r>
      <w:proofErr w:type="spellStart"/>
      <w:r w:rsidRPr="00966214">
        <w:rPr>
          <w:sz w:val="24"/>
          <w:szCs w:val="24"/>
        </w:rPr>
        <w:t>gepubliceerd</w:t>
      </w:r>
      <w:proofErr w:type="spellEnd"/>
      <w:r w:rsidRPr="00966214">
        <w:rPr>
          <w:sz w:val="24"/>
          <w:szCs w:val="24"/>
        </w:rPr>
        <w:t xml:space="preserve"> 2025). </w:t>
      </w:r>
      <w:hyperlink r:id="rId28" w:history="1">
        <w:r w:rsidRPr="00161DE2">
          <w:rPr>
            <w:rStyle w:val="Hyperlink"/>
            <w:sz w:val="24"/>
            <w:szCs w:val="24"/>
          </w:rPr>
          <w:t>https://www.candriam.com/siteassets/medias/publications/brochure/commercial-brochures/sri-brochure/voting-and-engagement-report-2024.pdf</w:t>
        </w:r>
      </w:hyperlink>
    </w:p>
    <w:p w14:paraId="5E323F0E" w14:textId="77777777" w:rsidR="00161DE2" w:rsidRPr="00161DE2" w:rsidRDefault="00161DE2" w:rsidP="00161DE2">
      <w:pPr>
        <w:pStyle w:val="Lijstopsomteken"/>
        <w:numPr>
          <w:ilvl w:val="0"/>
          <w:numId w:val="6"/>
        </w:numPr>
        <w:rPr>
          <w:sz w:val="24"/>
          <w:szCs w:val="24"/>
        </w:rPr>
      </w:pPr>
      <w:proofErr w:type="spellStart"/>
      <w:r w:rsidRPr="00966214">
        <w:rPr>
          <w:sz w:val="24"/>
          <w:szCs w:val="24"/>
          <w:lang w:val="nl-NL"/>
        </w:rPr>
        <w:t>Candriam</w:t>
      </w:r>
      <w:proofErr w:type="spellEnd"/>
      <w:r w:rsidRPr="00966214">
        <w:rPr>
          <w:sz w:val="24"/>
          <w:szCs w:val="24"/>
          <w:lang w:val="nl-NL"/>
        </w:rPr>
        <w:t xml:space="preserve">. (2025c). SFDR artikel 9-toelichting (art. 10-document). </w:t>
      </w:r>
      <w:hyperlink r:id="rId29" w:history="1">
        <w:r w:rsidRPr="00161DE2">
          <w:rPr>
            <w:rStyle w:val="Hyperlink"/>
            <w:sz w:val="24"/>
            <w:szCs w:val="24"/>
          </w:rPr>
          <w:t>https://www.candriam.com/siteassets/medias/insights/sfdr-publications/disclosurespursuanttoart10ofregulation---art-9-mandate_en.pdf</w:t>
        </w:r>
      </w:hyperlink>
    </w:p>
    <w:p w14:paraId="48A9F5FE" w14:textId="77777777" w:rsidR="00161DE2" w:rsidRPr="00966214" w:rsidRDefault="00161DE2" w:rsidP="00161DE2">
      <w:pPr>
        <w:pStyle w:val="Lijstopsomteken"/>
        <w:numPr>
          <w:ilvl w:val="0"/>
          <w:numId w:val="6"/>
        </w:numPr>
        <w:rPr>
          <w:sz w:val="24"/>
          <w:szCs w:val="24"/>
          <w:lang w:val="nl-NL"/>
        </w:rPr>
      </w:pPr>
      <w:proofErr w:type="spellStart"/>
      <w:r w:rsidRPr="00966214">
        <w:rPr>
          <w:sz w:val="24"/>
          <w:szCs w:val="24"/>
          <w:lang w:val="nl-NL"/>
        </w:rPr>
        <w:t>Candriam</w:t>
      </w:r>
      <w:proofErr w:type="spellEnd"/>
      <w:r w:rsidRPr="00966214">
        <w:rPr>
          <w:sz w:val="24"/>
          <w:szCs w:val="24"/>
          <w:lang w:val="nl-NL"/>
        </w:rPr>
        <w:t xml:space="preserve">. (2025d). PAI-verklaring 2024. </w:t>
      </w:r>
      <w:hyperlink r:id="rId30" w:history="1">
        <w:r w:rsidRPr="00966214">
          <w:rPr>
            <w:rStyle w:val="Hyperlink"/>
            <w:sz w:val="24"/>
            <w:szCs w:val="24"/>
            <w:lang w:val="nl-NL"/>
          </w:rPr>
          <w:t>https://www.candriam.com/siteassets/medias/insights/sfdr-publications/pais_qualitative_reporting_gb.pdf</w:t>
        </w:r>
      </w:hyperlink>
    </w:p>
    <w:p w14:paraId="3B4EFF6B" w14:textId="77777777" w:rsidR="00161DE2" w:rsidRPr="00161DE2" w:rsidRDefault="00161DE2" w:rsidP="00161DE2">
      <w:pPr>
        <w:pStyle w:val="Lijstopsomteken"/>
        <w:numPr>
          <w:ilvl w:val="0"/>
          <w:numId w:val="6"/>
        </w:numPr>
        <w:rPr>
          <w:sz w:val="24"/>
          <w:szCs w:val="24"/>
        </w:rPr>
      </w:pPr>
      <w:proofErr w:type="spellStart"/>
      <w:r w:rsidRPr="00966214">
        <w:rPr>
          <w:sz w:val="24"/>
          <w:szCs w:val="24"/>
        </w:rPr>
        <w:t>Candriam</w:t>
      </w:r>
      <w:proofErr w:type="spellEnd"/>
      <w:r w:rsidRPr="00966214">
        <w:rPr>
          <w:sz w:val="24"/>
          <w:szCs w:val="24"/>
        </w:rPr>
        <w:t>. (2025e). Remuneration Policy (</w:t>
      </w:r>
      <w:proofErr w:type="spellStart"/>
      <w:r w:rsidRPr="00966214">
        <w:rPr>
          <w:sz w:val="24"/>
          <w:szCs w:val="24"/>
        </w:rPr>
        <w:t>april</w:t>
      </w:r>
      <w:proofErr w:type="spellEnd"/>
      <w:r w:rsidRPr="00966214">
        <w:rPr>
          <w:sz w:val="24"/>
          <w:szCs w:val="24"/>
        </w:rPr>
        <w:t xml:space="preserve"> 2025). </w:t>
      </w:r>
      <w:hyperlink r:id="rId31" w:history="1">
        <w:r w:rsidRPr="00161DE2">
          <w:rPr>
            <w:rStyle w:val="Hyperlink"/>
            <w:sz w:val="24"/>
            <w:szCs w:val="24"/>
          </w:rPr>
          <w:t>https://www.candriam.com/siteassets/legal-and-disclaimer/external_disclosure_remuneration_policy.pdf</w:t>
        </w:r>
      </w:hyperlink>
    </w:p>
    <w:p w14:paraId="60A98628" w14:textId="77777777" w:rsidR="00161DE2" w:rsidRPr="00966214" w:rsidRDefault="00161DE2" w:rsidP="00161DE2">
      <w:pPr>
        <w:pStyle w:val="Lijstopsomteken"/>
        <w:numPr>
          <w:ilvl w:val="0"/>
          <w:numId w:val="6"/>
        </w:numPr>
        <w:rPr>
          <w:sz w:val="24"/>
          <w:szCs w:val="24"/>
        </w:rPr>
      </w:pPr>
      <w:proofErr w:type="spellStart"/>
      <w:r w:rsidRPr="00966214">
        <w:rPr>
          <w:sz w:val="24"/>
          <w:szCs w:val="24"/>
          <w:lang w:val="nl-NL"/>
        </w:rPr>
        <w:t>Carrington</w:t>
      </w:r>
      <w:proofErr w:type="spellEnd"/>
      <w:r w:rsidRPr="00966214">
        <w:rPr>
          <w:sz w:val="24"/>
          <w:szCs w:val="24"/>
          <w:lang w:val="nl-NL"/>
        </w:rPr>
        <w:t xml:space="preserve">, D. (2025, 18 mei). Europese duurzame fondsen beleggen nog in fossiele bedrijven. </w:t>
      </w:r>
      <w:r w:rsidRPr="00966214">
        <w:rPr>
          <w:sz w:val="24"/>
          <w:szCs w:val="24"/>
        </w:rPr>
        <w:t xml:space="preserve">The Guardian. </w:t>
      </w:r>
      <w:hyperlink r:id="rId32" w:history="1">
        <w:r w:rsidRPr="00966214">
          <w:rPr>
            <w:rStyle w:val="Hyperlink"/>
            <w:sz w:val="24"/>
            <w:szCs w:val="24"/>
          </w:rPr>
          <w:t>https://www.theguardian.com/environment/2025/may/18/revealed-european-green-investments-hold-billions-in-fossil-fuel-majors</w:t>
        </w:r>
      </w:hyperlink>
    </w:p>
    <w:p w14:paraId="628CA803" w14:textId="77777777" w:rsidR="00161DE2" w:rsidRPr="00161DE2" w:rsidRDefault="00161DE2" w:rsidP="00161DE2">
      <w:pPr>
        <w:pStyle w:val="Lijstopsomteken"/>
        <w:numPr>
          <w:ilvl w:val="0"/>
          <w:numId w:val="6"/>
        </w:numPr>
        <w:rPr>
          <w:sz w:val="24"/>
          <w:szCs w:val="24"/>
        </w:rPr>
      </w:pPr>
      <w:r w:rsidRPr="00966214">
        <w:rPr>
          <w:sz w:val="24"/>
          <w:szCs w:val="24"/>
          <w:lang w:val="nl-NL"/>
        </w:rPr>
        <w:t xml:space="preserve">Reuters. (2024, 27 november). BNP Paribas stopt met investeren in nieuwe obligaties van olie- en gasbedrijven. </w:t>
      </w:r>
      <w:hyperlink r:id="rId33" w:history="1">
        <w:r w:rsidRPr="00161DE2">
          <w:rPr>
            <w:rStyle w:val="Hyperlink"/>
            <w:sz w:val="24"/>
            <w:szCs w:val="24"/>
          </w:rPr>
          <w:t>https://www.reuters.com/business/finance/bnp-paribas-fund-arm-exclude-new-oil-gas-bonds-2024-11-27/</w:t>
        </w:r>
      </w:hyperlink>
    </w:p>
    <w:p w14:paraId="4916621E" w14:textId="77777777" w:rsidR="00161DE2" w:rsidRPr="00966214" w:rsidRDefault="00161DE2" w:rsidP="00161DE2">
      <w:pPr>
        <w:pStyle w:val="Lijstopsomteken"/>
        <w:numPr>
          <w:ilvl w:val="0"/>
          <w:numId w:val="6"/>
        </w:numPr>
        <w:rPr>
          <w:sz w:val="24"/>
          <w:szCs w:val="24"/>
          <w:lang w:val="nl-NL"/>
        </w:rPr>
      </w:pPr>
      <w:r w:rsidRPr="00966214">
        <w:rPr>
          <w:sz w:val="24"/>
          <w:szCs w:val="24"/>
          <w:lang w:val="nl-NL"/>
        </w:rPr>
        <w:t xml:space="preserve">Robeco. (2023a). Toelichting op SFDR-classificatie. </w:t>
      </w:r>
      <w:hyperlink r:id="rId34" w:history="1">
        <w:r w:rsidRPr="00966214">
          <w:rPr>
            <w:rStyle w:val="Hyperlink"/>
            <w:sz w:val="24"/>
            <w:szCs w:val="24"/>
            <w:lang w:val="nl-NL"/>
          </w:rPr>
          <w:t>https://www.robeco.com/en-int/sustainable-investing/sfdr/</w:t>
        </w:r>
      </w:hyperlink>
    </w:p>
    <w:p w14:paraId="7ABEE95E" w14:textId="77777777" w:rsidR="00161DE2" w:rsidRPr="00966214" w:rsidRDefault="00161DE2" w:rsidP="00161DE2">
      <w:pPr>
        <w:pStyle w:val="Lijstopsomteken"/>
        <w:numPr>
          <w:ilvl w:val="0"/>
          <w:numId w:val="6"/>
        </w:numPr>
        <w:rPr>
          <w:sz w:val="24"/>
          <w:szCs w:val="24"/>
          <w:lang w:val="nl-NL"/>
        </w:rPr>
      </w:pPr>
      <w:r w:rsidRPr="00966214">
        <w:rPr>
          <w:sz w:val="24"/>
          <w:szCs w:val="24"/>
          <w:lang w:val="nl-NL"/>
        </w:rPr>
        <w:t xml:space="preserve">Robeco. (2023b). Beleidsnota beloningsstructuur. </w:t>
      </w:r>
      <w:hyperlink r:id="rId35" w:history="1">
        <w:r w:rsidRPr="00966214">
          <w:rPr>
            <w:rStyle w:val="Hyperlink"/>
            <w:sz w:val="24"/>
            <w:szCs w:val="24"/>
            <w:lang w:val="nl-NL"/>
          </w:rPr>
          <w:t>https://www.robeco.com/files/docm/docu-riam-robeco-remuneration-policy.pdf</w:t>
        </w:r>
      </w:hyperlink>
    </w:p>
    <w:p w14:paraId="090BBE80" w14:textId="77777777" w:rsidR="00161DE2" w:rsidRPr="00966214" w:rsidRDefault="00161DE2" w:rsidP="00161DE2">
      <w:pPr>
        <w:pStyle w:val="Lijstopsomteken"/>
        <w:numPr>
          <w:ilvl w:val="0"/>
          <w:numId w:val="6"/>
        </w:numPr>
        <w:rPr>
          <w:sz w:val="24"/>
          <w:szCs w:val="24"/>
          <w:lang w:val="nl-NL"/>
        </w:rPr>
      </w:pPr>
      <w:r w:rsidRPr="00966214">
        <w:rPr>
          <w:sz w:val="24"/>
          <w:szCs w:val="24"/>
          <w:lang w:val="nl-NL"/>
        </w:rPr>
        <w:t xml:space="preserve">Robeco. (2024a). Beleidsdocument duurzaamheid. </w:t>
      </w:r>
      <w:hyperlink r:id="rId36" w:history="1">
        <w:r w:rsidRPr="00966214">
          <w:rPr>
            <w:rStyle w:val="Hyperlink"/>
            <w:sz w:val="24"/>
            <w:szCs w:val="24"/>
            <w:lang w:val="nl-NL"/>
          </w:rPr>
          <w:t>https://www.robeco.com/docm/docu-social-environmental-policy.pdf</w:t>
        </w:r>
      </w:hyperlink>
    </w:p>
    <w:p w14:paraId="2297F803" w14:textId="77777777" w:rsidR="00161DE2" w:rsidRPr="00966214" w:rsidRDefault="00161DE2" w:rsidP="00161DE2">
      <w:pPr>
        <w:pStyle w:val="Lijstopsomteken"/>
        <w:numPr>
          <w:ilvl w:val="0"/>
          <w:numId w:val="6"/>
        </w:numPr>
        <w:rPr>
          <w:sz w:val="24"/>
          <w:szCs w:val="24"/>
          <w:lang w:val="nl-NL"/>
        </w:rPr>
      </w:pPr>
      <w:r w:rsidRPr="00966214">
        <w:rPr>
          <w:sz w:val="24"/>
          <w:szCs w:val="24"/>
          <w:lang w:val="nl-NL"/>
        </w:rPr>
        <w:t xml:space="preserve">Robeco. (2024b). Verslag aandeelhouderschap 2023. </w:t>
      </w:r>
      <w:hyperlink r:id="rId37" w:history="1">
        <w:r w:rsidRPr="00966214">
          <w:rPr>
            <w:rStyle w:val="Hyperlink"/>
            <w:sz w:val="24"/>
            <w:szCs w:val="24"/>
            <w:lang w:val="nl-NL"/>
          </w:rPr>
          <w:t>https://www.robeco.com/files/docm/docu-202404-robeco-stewardship-report-2023.pdf</w:t>
        </w:r>
      </w:hyperlink>
    </w:p>
    <w:p w14:paraId="3B1257D1" w14:textId="77777777" w:rsidR="00161DE2" w:rsidRPr="00966214" w:rsidRDefault="00161DE2" w:rsidP="00161DE2">
      <w:pPr>
        <w:pStyle w:val="Lijstopsomteken"/>
        <w:numPr>
          <w:ilvl w:val="0"/>
          <w:numId w:val="6"/>
        </w:numPr>
        <w:rPr>
          <w:sz w:val="24"/>
          <w:szCs w:val="24"/>
          <w:lang w:val="nl-NL"/>
        </w:rPr>
      </w:pPr>
      <w:r w:rsidRPr="00966214">
        <w:rPr>
          <w:sz w:val="24"/>
          <w:szCs w:val="24"/>
          <w:lang w:val="nl-NL"/>
        </w:rPr>
        <w:t xml:space="preserve">Robeco. (2024c). Uitsluitingsbeleid. </w:t>
      </w:r>
      <w:hyperlink r:id="rId38" w:history="1">
        <w:r w:rsidRPr="00966214">
          <w:rPr>
            <w:rStyle w:val="Hyperlink"/>
            <w:sz w:val="24"/>
            <w:szCs w:val="24"/>
            <w:lang w:val="nl-NL"/>
          </w:rPr>
          <w:t>https://www.robeco.com/docm/docu-exclusion-policy.pdf</w:t>
        </w:r>
      </w:hyperlink>
    </w:p>
    <w:p w14:paraId="49BFC6C4" w14:textId="77777777" w:rsidR="00161DE2" w:rsidRPr="00966214" w:rsidRDefault="00161DE2" w:rsidP="00161DE2">
      <w:pPr>
        <w:pStyle w:val="Lijstopsomteken"/>
        <w:numPr>
          <w:ilvl w:val="0"/>
          <w:numId w:val="6"/>
        </w:numPr>
        <w:rPr>
          <w:sz w:val="24"/>
          <w:szCs w:val="24"/>
          <w:lang w:val="nl-NL"/>
        </w:rPr>
      </w:pPr>
      <w:r w:rsidRPr="00966214">
        <w:rPr>
          <w:sz w:val="24"/>
          <w:szCs w:val="24"/>
          <w:lang w:val="nl-NL"/>
        </w:rPr>
        <w:t xml:space="preserve">Robeco. (2024d). Verklaring bestuursstructuur. </w:t>
      </w:r>
      <w:hyperlink r:id="rId39" w:history="1">
        <w:r w:rsidRPr="00966214">
          <w:rPr>
            <w:rStyle w:val="Hyperlink"/>
            <w:sz w:val="24"/>
            <w:szCs w:val="24"/>
            <w:lang w:val="nl-NL"/>
          </w:rPr>
          <w:t>https://www.robeco.com/en-int/about-us/governance/</w:t>
        </w:r>
      </w:hyperlink>
    </w:p>
    <w:p w14:paraId="5D391EE0" w14:textId="77777777" w:rsidR="00161DE2" w:rsidRPr="00966214" w:rsidRDefault="00161DE2" w:rsidP="00161DE2">
      <w:pPr>
        <w:pStyle w:val="Lijstopsomteken"/>
        <w:numPr>
          <w:ilvl w:val="0"/>
          <w:numId w:val="6"/>
        </w:numPr>
        <w:rPr>
          <w:sz w:val="24"/>
          <w:szCs w:val="24"/>
          <w:lang w:val="nl-NL"/>
        </w:rPr>
      </w:pPr>
      <w:r w:rsidRPr="00966214">
        <w:rPr>
          <w:sz w:val="24"/>
          <w:szCs w:val="24"/>
          <w:lang w:val="nl-NL"/>
        </w:rPr>
        <w:t xml:space="preserve">Robeco. (2024e). Geïntegreerd jaarverslag 2023. </w:t>
      </w:r>
      <w:hyperlink r:id="rId40" w:history="1">
        <w:r w:rsidRPr="00966214">
          <w:rPr>
            <w:rStyle w:val="Hyperlink"/>
            <w:sz w:val="24"/>
            <w:szCs w:val="24"/>
            <w:lang w:val="nl-NL"/>
          </w:rPr>
          <w:t>https://www.robeco.com/files/docm/docu-robeco-integrated-annual-report-2023.pdf</w:t>
        </w:r>
      </w:hyperlink>
    </w:p>
    <w:p w14:paraId="736250C3" w14:textId="77777777" w:rsidR="00161DE2" w:rsidRPr="00161DE2" w:rsidRDefault="00161DE2" w:rsidP="00161DE2">
      <w:pPr>
        <w:pStyle w:val="Lijstopsomteken"/>
        <w:numPr>
          <w:ilvl w:val="0"/>
          <w:numId w:val="6"/>
        </w:numPr>
        <w:rPr>
          <w:sz w:val="24"/>
          <w:szCs w:val="24"/>
        </w:rPr>
      </w:pPr>
      <w:r w:rsidRPr="00966214">
        <w:rPr>
          <w:sz w:val="24"/>
          <w:szCs w:val="24"/>
          <w:lang w:val="nl-NL"/>
        </w:rPr>
        <w:lastRenderedPageBreak/>
        <w:t xml:space="preserve">Robeco. (2024f). Persbericht eerste geïntegreerde jaarverslag. </w:t>
      </w:r>
      <w:hyperlink r:id="rId41" w:history="1">
        <w:r w:rsidRPr="00161DE2">
          <w:rPr>
            <w:rStyle w:val="Hyperlink"/>
            <w:sz w:val="24"/>
            <w:szCs w:val="24"/>
          </w:rPr>
          <w:t>https://www.robeco.com/en-int/media/press-release/robeco-publishes-its-first-integrated-annual-report/</w:t>
        </w:r>
      </w:hyperlink>
    </w:p>
    <w:p w14:paraId="1DC13D6E" w14:textId="77777777" w:rsidR="00161DE2" w:rsidRPr="00966214" w:rsidRDefault="00161DE2" w:rsidP="00161DE2">
      <w:pPr>
        <w:pStyle w:val="Lijstopsomteken"/>
        <w:numPr>
          <w:ilvl w:val="0"/>
          <w:numId w:val="6"/>
        </w:numPr>
        <w:rPr>
          <w:sz w:val="24"/>
          <w:szCs w:val="24"/>
        </w:rPr>
      </w:pPr>
      <w:r w:rsidRPr="00966214">
        <w:rPr>
          <w:sz w:val="24"/>
          <w:szCs w:val="24"/>
        </w:rPr>
        <w:t xml:space="preserve">UBS Asset Management. (2024). Environmental and Sustainable Stewardship Report. </w:t>
      </w:r>
      <w:hyperlink r:id="rId42" w:history="1">
        <w:r w:rsidRPr="00966214">
          <w:rPr>
            <w:rStyle w:val="Hyperlink"/>
            <w:sz w:val="24"/>
            <w:szCs w:val="24"/>
          </w:rPr>
          <w:t>https://www.ubs.com/global/en/assetmanagement/capabilities/sustainable-investing/stewardship-engagement.html</w:t>
        </w:r>
      </w:hyperlink>
    </w:p>
    <w:p w14:paraId="195E70B7" w14:textId="77777777" w:rsidR="00161DE2" w:rsidRPr="00966214" w:rsidRDefault="00161DE2" w:rsidP="00161DE2">
      <w:pPr>
        <w:pStyle w:val="Lijstopsomteken"/>
        <w:numPr>
          <w:ilvl w:val="0"/>
          <w:numId w:val="6"/>
        </w:numPr>
        <w:rPr>
          <w:sz w:val="24"/>
          <w:szCs w:val="24"/>
        </w:rPr>
      </w:pPr>
      <w:r w:rsidRPr="00966214">
        <w:rPr>
          <w:sz w:val="24"/>
          <w:szCs w:val="24"/>
        </w:rPr>
        <w:t xml:space="preserve">UBS Group AG. (2023). Annual Report 2023. </w:t>
      </w:r>
      <w:hyperlink r:id="rId43" w:history="1">
        <w:r w:rsidRPr="00966214">
          <w:rPr>
            <w:rStyle w:val="Hyperlink"/>
            <w:sz w:val="24"/>
            <w:szCs w:val="24"/>
          </w:rPr>
          <w:t>https://www.ubs.com/global/en/investor-relations/financial-information/annual-reporting/ar-archive.html</w:t>
        </w:r>
      </w:hyperlink>
    </w:p>
    <w:p w14:paraId="5716E875" w14:textId="77777777" w:rsidR="00161DE2" w:rsidRPr="00966214" w:rsidRDefault="00161DE2" w:rsidP="00161DE2">
      <w:pPr>
        <w:pStyle w:val="Lijstopsomteken"/>
        <w:numPr>
          <w:ilvl w:val="0"/>
          <w:numId w:val="6"/>
        </w:numPr>
        <w:rPr>
          <w:sz w:val="24"/>
          <w:szCs w:val="24"/>
        </w:rPr>
      </w:pPr>
      <w:r w:rsidRPr="00966214">
        <w:rPr>
          <w:sz w:val="24"/>
          <w:szCs w:val="24"/>
        </w:rPr>
        <w:t xml:space="preserve">UBS Group AG. (2023). Sustainability and Climate Risk Policy Framework. </w:t>
      </w:r>
      <w:hyperlink r:id="rId44" w:history="1">
        <w:r w:rsidRPr="00966214">
          <w:rPr>
            <w:rStyle w:val="Hyperlink"/>
            <w:sz w:val="24"/>
            <w:szCs w:val="24"/>
          </w:rPr>
          <w:t>https://www.ubs.com/global/en/sustainability-impact/sustainability-reporting.html</w:t>
        </w:r>
      </w:hyperlink>
    </w:p>
    <w:p w14:paraId="24E0B163" w14:textId="77777777" w:rsidR="00161DE2" w:rsidRPr="00966214" w:rsidRDefault="00161DE2" w:rsidP="00161DE2">
      <w:pPr>
        <w:pStyle w:val="Lijstopsomteken"/>
        <w:numPr>
          <w:ilvl w:val="0"/>
          <w:numId w:val="6"/>
        </w:numPr>
        <w:rPr>
          <w:sz w:val="24"/>
          <w:szCs w:val="24"/>
        </w:rPr>
      </w:pPr>
      <w:r w:rsidRPr="00966214">
        <w:rPr>
          <w:sz w:val="24"/>
          <w:szCs w:val="24"/>
        </w:rPr>
        <w:t xml:space="preserve">UBS Group AG. (2024). Sustainability Report 2024. </w:t>
      </w:r>
      <w:hyperlink r:id="rId45" w:history="1">
        <w:r w:rsidRPr="00966214">
          <w:rPr>
            <w:rStyle w:val="Hyperlink"/>
            <w:sz w:val="24"/>
            <w:szCs w:val="24"/>
          </w:rPr>
          <w:t>https://www.ubs.com/global/en/sustainability-impact/sustainability-reporting.html</w:t>
        </w:r>
      </w:hyperlink>
    </w:p>
    <w:p w14:paraId="5B01F77C" w14:textId="77777777" w:rsidR="00161DE2" w:rsidRPr="00161DE2" w:rsidRDefault="00161DE2" w:rsidP="00161DE2">
      <w:pPr>
        <w:pStyle w:val="Lijstopsomteken"/>
        <w:numPr>
          <w:ilvl w:val="0"/>
          <w:numId w:val="6"/>
        </w:numPr>
        <w:rPr>
          <w:sz w:val="24"/>
          <w:szCs w:val="24"/>
        </w:rPr>
      </w:pPr>
      <w:r w:rsidRPr="00966214">
        <w:rPr>
          <w:sz w:val="24"/>
          <w:szCs w:val="24"/>
        </w:rPr>
        <w:t xml:space="preserve">Violation Tracker Global. (2021). BNP Paribas Asset Management Holdings – Austria sanctions. </w:t>
      </w:r>
      <w:hyperlink r:id="rId46" w:history="1">
        <w:r w:rsidRPr="00161DE2">
          <w:rPr>
            <w:rStyle w:val="Hyperlink"/>
            <w:sz w:val="24"/>
            <w:szCs w:val="24"/>
          </w:rPr>
          <w:t>https://violationtrackerglobal.goodjobsfirst.org/violation-tracker-global/austria-bnp-paribas-asset-management-hol</w:t>
        </w:r>
      </w:hyperlink>
    </w:p>
    <w:p w14:paraId="758025B0" w14:textId="77777777" w:rsidR="00161DE2" w:rsidRPr="00161DE2" w:rsidRDefault="00161DE2" w:rsidP="00161DE2">
      <w:pPr>
        <w:rPr>
          <w:lang w:val="en-US"/>
        </w:rPr>
      </w:pPr>
    </w:p>
    <w:p w14:paraId="6E9596C0" w14:textId="2B249BDD" w:rsidR="00161DE2" w:rsidRDefault="00161DE2">
      <w:pPr>
        <w:rPr>
          <w:b/>
          <w:bCs/>
          <w:sz w:val="28"/>
          <w:szCs w:val="28"/>
          <w:lang w:val="en-US"/>
        </w:rPr>
      </w:pPr>
    </w:p>
    <w:p w14:paraId="00D265BB" w14:textId="77777777" w:rsidR="00161DE2" w:rsidRDefault="00161DE2">
      <w:pPr>
        <w:rPr>
          <w:b/>
          <w:bCs/>
          <w:sz w:val="28"/>
          <w:szCs w:val="28"/>
          <w:lang w:val="en-US"/>
        </w:rPr>
      </w:pPr>
    </w:p>
    <w:p w14:paraId="1701A875" w14:textId="77777777" w:rsidR="00161DE2" w:rsidRDefault="00161DE2">
      <w:pPr>
        <w:rPr>
          <w:b/>
          <w:bCs/>
          <w:sz w:val="28"/>
          <w:szCs w:val="28"/>
          <w:lang w:val="en-US"/>
        </w:rPr>
      </w:pPr>
    </w:p>
    <w:p w14:paraId="16FC3B0D" w14:textId="77777777" w:rsidR="00161DE2" w:rsidRDefault="00161DE2">
      <w:pPr>
        <w:rPr>
          <w:b/>
          <w:bCs/>
          <w:sz w:val="28"/>
          <w:szCs w:val="28"/>
          <w:lang w:val="en-US"/>
        </w:rPr>
      </w:pPr>
    </w:p>
    <w:p w14:paraId="671F5A9E" w14:textId="77777777" w:rsidR="00161DE2" w:rsidRDefault="00161DE2">
      <w:pPr>
        <w:rPr>
          <w:b/>
          <w:bCs/>
          <w:sz w:val="28"/>
          <w:szCs w:val="28"/>
          <w:lang w:val="en-US"/>
        </w:rPr>
      </w:pPr>
    </w:p>
    <w:p w14:paraId="27E1BA69" w14:textId="77777777" w:rsidR="00161DE2" w:rsidRDefault="00161DE2">
      <w:pPr>
        <w:rPr>
          <w:b/>
          <w:bCs/>
          <w:sz w:val="28"/>
          <w:szCs w:val="28"/>
          <w:lang w:val="en-US"/>
        </w:rPr>
      </w:pPr>
    </w:p>
    <w:p w14:paraId="6B7CCB8A" w14:textId="77777777" w:rsidR="00161DE2" w:rsidRDefault="00161DE2">
      <w:pPr>
        <w:rPr>
          <w:b/>
          <w:bCs/>
          <w:sz w:val="28"/>
          <w:szCs w:val="28"/>
          <w:lang w:val="en-US"/>
        </w:rPr>
      </w:pPr>
    </w:p>
    <w:p w14:paraId="71DEEFBE" w14:textId="77777777" w:rsidR="00161DE2" w:rsidRDefault="00161DE2">
      <w:pPr>
        <w:rPr>
          <w:b/>
          <w:bCs/>
          <w:sz w:val="28"/>
          <w:szCs w:val="28"/>
          <w:lang w:val="en-US"/>
        </w:rPr>
      </w:pPr>
    </w:p>
    <w:p w14:paraId="6F264F93" w14:textId="77777777" w:rsidR="00161DE2" w:rsidRDefault="00161DE2">
      <w:pPr>
        <w:rPr>
          <w:b/>
          <w:bCs/>
          <w:sz w:val="28"/>
          <w:szCs w:val="28"/>
          <w:lang w:val="en-US"/>
        </w:rPr>
      </w:pPr>
    </w:p>
    <w:p w14:paraId="23C27282" w14:textId="77777777" w:rsidR="00161DE2" w:rsidRDefault="00161DE2">
      <w:pPr>
        <w:rPr>
          <w:b/>
          <w:bCs/>
          <w:sz w:val="28"/>
          <w:szCs w:val="28"/>
          <w:lang w:val="en-US"/>
        </w:rPr>
      </w:pPr>
    </w:p>
    <w:p w14:paraId="716FEA49" w14:textId="77777777" w:rsidR="00161DE2" w:rsidRDefault="00161DE2">
      <w:pPr>
        <w:rPr>
          <w:b/>
          <w:bCs/>
          <w:sz w:val="28"/>
          <w:szCs w:val="28"/>
          <w:lang w:val="en-US"/>
        </w:rPr>
      </w:pPr>
    </w:p>
    <w:p w14:paraId="46244013" w14:textId="77777777" w:rsidR="00161DE2" w:rsidRDefault="00161DE2">
      <w:pPr>
        <w:rPr>
          <w:b/>
          <w:bCs/>
          <w:sz w:val="28"/>
          <w:szCs w:val="28"/>
          <w:lang w:val="en-US"/>
        </w:rPr>
      </w:pPr>
    </w:p>
    <w:p w14:paraId="341EF72F" w14:textId="1F4073EE" w:rsidR="00161DE2" w:rsidRPr="0068750A" w:rsidRDefault="00161DE2" w:rsidP="00161DE2">
      <w:pPr>
        <w:pStyle w:val="Titel"/>
        <w:rPr>
          <w:rFonts w:eastAsia="Times New Roman"/>
        </w:rPr>
      </w:pPr>
      <w:r w:rsidRPr="0068750A">
        <w:rPr>
          <w:rFonts w:eastAsia="Times New Roman"/>
        </w:rPr>
        <w:lastRenderedPageBreak/>
        <w:t xml:space="preserve"> Onderzoek en keuze van een vermogensbeheerder</w:t>
      </w:r>
      <w:r>
        <w:rPr>
          <w:rFonts w:eastAsia="Times New Roman"/>
        </w:rPr>
        <w:t xml:space="preserve"> Cameron </w:t>
      </w:r>
      <w:proofErr w:type="spellStart"/>
      <w:r>
        <w:rPr>
          <w:rFonts w:eastAsia="Times New Roman"/>
        </w:rPr>
        <w:t>Chotkan</w:t>
      </w:r>
      <w:proofErr w:type="spellEnd"/>
    </w:p>
    <w:p w14:paraId="22FD9DE4" w14:textId="77777777" w:rsidR="00161DE2" w:rsidRPr="0068750A" w:rsidRDefault="00161DE2" w:rsidP="00161DE2">
      <w:pPr>
        <w:spacing w:before="100" w:beforeAutospacing="1" w:after="100" w:afterAutospacing="1"/>
        <w:rPr>
          <w:rFonts w:ascii="Arial" w:hAnsi="Arial" w:cs="Arial"/>
          <w:color w:val="000000"/>
        </w:rPr>
      </w:pPr>
      <w:r w:rsidRPr="0068750A">
        <w:rPr>
          <w:rFonts w:ascii="Arial" w:hAnsi="Arial" w:cs="Arial"/>
          <w:color w:val="000000"/>
        </w:rPr>
        <w:t>Voor deze opdracht heb ik vier vermogensbeheerders onderzocht: </w:t>
      </w:r>
      <w:proofErr w:type="spellStart"/>
      <w:r w:rsidRPr="0068750A">
        <w:rPr>
          <w:rFonts w:ascii="Arial" w:hAnsi="Arial" w:cs="Arial"/>
          <w:b/>
          <w:bCs/>
          <w:color w:val="000000"/>
        </w:rPr>
        <w:t>Amundi</w:t>
      </w:r>
      <w:proofErr w:type="spellEnd"/>
      <w:r w:rsidRPr="0068750A">
        <w:rPr>
          <w:rFonts w:ascii="Arial" w:hAnsi="Arial" w:cs="Arial"/>
          <w:color w:val="000000"/>
        </w:rPr>
        <w:t>, </w:t>
      </w:r>
      <w:r w:rsidRPr="0068750A">
        <w:rPr>
          <w:rFonts w:ascii="Arial" w:hAnsi="Arial" w:cs="Arial"/>
          <w:b/>
          <w:bCs/>
          <w:color w:val="000000"/>
        </w:rPr>
        <w:t xml:space="preserve">ASN Impact </w:t>
      </w:r>
      <w:proofErr w:type="spellStart"/>
      <w:r w:rsidRPr="0068750A">
        <w:rPr>
          <w:rFonts w:ascii="Arial" w:hAnsi="Arial" w:cs="Arial"/>
          <w:b/>
          <w:bCs/>
          <w:color w:val="000000"/>
        </w:rPr>
        <w:t>Investors</w:t>
      </w:r>
      <w:proofErr w:type="spellEnd"/>
      <w:r w:rsidRPr="0068750A">
        <w:rPr>
          <w:rFonts w:ascii="Arial" w:hAnsi="Arial" w:cs="Arial"/>
          <w:color w:val="000000"/>
        </w:rPr>
        <w:t>, </w:t>
      </w:r>
      <w:r w:rsidRPr="0068750A">
        <w:rPr>
          <w:rFonts w:ascii="Arial" w:hAnsi="Arial" w:cs="Arial"/>
          <w:b/>
          <w:bCs/>
          <w:color w:val="000000"/>
        </w:rPr>
        <w:t>Triodos Investment Management</w:t>
      </w:r>
      <w:r w:rsidRPr="0068750A">
        <w:rPr>
          <w:rFonts w:ascii="Arial" w:hAnsi="Arial" w:cs="Arial"/>
          <w:color w:val="000000"/>
        </w:rPr>
        <w:t> en </w:t>
      </w:r>
      <w:r w:rsidRPr="0068750A">
        <w:rPr>
          <w:rFonts w:ascii="Arial" w:hAnsi="Arial" w:cs="Arial"/>
          <w:b/>
          <w:bCs/>
          <w:color w:val="000000"/>
        </w:rPr>
        <w:t>DWS Group</w:t>
      </w:r>
      <w:r w:rsidRPr="0068750A">
        <w:rPr>
          <w:rFonts w:ascii="Arial" w:hAnsi="Arial" w:cs="Arial"/>
          <w:color w:val="000000"/>
        </w:rPr>
        <w:t>.</w:t>
      </w:r>
      <w:r w:rsidRPr="0068750A">
        <w:rPr>
          <w:rFonts w:ascii="Arial" w:hAnsi="Arial" w:cs="Arial"/>
          <w:color w:val="000000"/>
        </w:rPr>
        <w:br/>
        <w:t>Het doel was om te bepalen welke partij het beste past bij de duurzame visie van </w:t>
      </w:r>
      <w:proofErr w:type="spellStart"/>
      <w:r w:rsidRPr="0068750A">
        <w:rPr>
          <w:rFonts w:ascii="Arial" w:hAnsi="Arial" w:cs="Arial"/>
          <w:color w:val="000000"/>
        </w:rPr>
        <w:t>HuisjeBoompjeBeleggen</w:t>
      </w:r>
      <w:proofErr w:type="spellEnd"/>
      <w:r w:rsidRPr="0068750A">
        <w:rPr>
          <w:rFonts w:ascii="Arial" w:hAnsi="Arial" w:cs="Arial"/>
          <w:color w:val="000000"/>
        </w:rPr>
        <w:t>. Ik heb vooral gekeken naar drie onderdelen: het duurzaamheidsbeleid, de manier waarop de organisatie bestuurd wordt (</w:t>
      </w:r>
      <w:proofErr w:type="spellStart"/>
      <w:r w:rsidRPr="001A6EC9">
        <w:rPr>
          <w:rFonts w:ascii="Arial" w:hAnsi="Arial" w:cs="Arial"/>
          <w:color w:val="000000"/>
        </w:rPr>
        <w:t>G</w:t>
      </w:r>
      <w:r w:rsidRPr="0068750A">
        <w:rPr>
          <w:rFonts w:ascii="Arial" w:hAnsi="Arial" w:cs="Arial"/>
          <w:color w:val="000000"/>
        </w:rPr>
        <w:t>overnance</w:t>
      </w:r>
      <w:proofErr w:type="spellEnd"/>
      <w:r w:rsidRPr="0068750A">
        <w:rPr>
          <w:rFonts w:ascii="Arial" w:hAnsi="Arial" w:cs="Arial"/>
          <w:color w:val="000000"/>
        </w:rPr>
        <w:t>) en eventuele negatieve publiciteit</w:t>
      </w:r>
      <w:r w:rsidRPr="001A6EC9">
        <w:rPr>
          <w:rFonts w:ascii="Arial" w:hAnsi="Arial" w:cs="Arial"/>
          <w:color w:val="000000"/>
        </w:rPr>
        <w:t xml:space="preserve"> (Bad Press).</w:t>
      </w:r>
    </w:p>
    <w:p w14:paraId="769F092B" w14:textId="77777777" w:rsidR="00161DE2" w:rsidRPr="0068750A" w:rsidRDefault="00161DE2" w:rsidP="00161DE2">
      <w:pPr>
        <w:rPr>
          <w:rFonts w:ascii="Arial" w:hAnsi="Arial" w:cs="Arial"/>
        </w:rPr>
      </w:pPr>
    </w:p>
    <w:p w14:paraId="4E2FB28D" w14:textId="77777777" w:rsidR="00161DE2" w:rsidRPr="009C3EC5" w:rsidRDefault="00161DE2" w:rsidP="00161DE2">
      <w:pPr>
        <w:pStyle w:val="Lijstalinea"/>
        <w:numPr>
          <w:ilvl w:val="0"/>
          <w:numId w:val="9"/>
        </w:numPr>
        <w:spacing w:before="100" w:beforeAutospacing="1" w:after="100" w:afterAutospacing="1" w:line="240" w:lineRule="auto"/>
        <w:outlineLvl w:val="1"/>
        <w:rPr>
          <w:rFonts w:ascii="Arial" w:hAnsi="Arial" w:cs="Arial"/>
          <w:b/>
          <w:bCs/>
          <w:color w:val="000000"/>
          <w:sz w:val="36"/>
          <w:szCs w:val="36"/>
        </w:rPr>
      </w:pPr>
      <w:proofErr w:type="spellStart"/>
      <w:r w:rsidRPr="009C3EC5">
        <w:rPr>
          <w:rFonts w:ascii="Arial" w:hAnsi="Arial" w:cs="Arial"/>
          <w:b/>
          <w:bCs/>
          <w:color w:val="000000"/>
          <w:sz w:val="36"/>
          <w:szCs w:val="36"/>
        </w:rPr>
        <w:t>Amundi</w:t>
      </w:r>
      <w:proofErr w:type="spellEnd"/>
    </w:p>
    <w:p w14:paraId="16E1B5D9" w14:textId="77777777" w:rsidR="00161DE2" w:rsidRDefault="00161DE2" w:rsidP="00161DE2">
      <w:pPr>
        <w:pStyle w:val="Lijstalinea"/>
        <w:spacing w:before="100" w:beforeAutospacing="1" w:after="100" w:afterAutospacing="1"/>
        <w:outlineLvl w:val="2"/>
        <w:rPr>
          <w:rFonts w:ascii="Arial" w:hAnsi="Arial" w:cs="Arial"/>
          <w:b/>
          <w:bCs/>
          <w:color w:val="000000"/>
          <w:sz w:val="27"/>
          <w:szCs w:val="27"/>
        </w:rPr>
      </w:pPr>
    </w:p>
    <w:p w14:paraId="6C0A0B83" w14:textId="77777777" w:rsidR="00161DE2" w:rsidRPr="00E815AD" w:rsidRDefault="00161DE2" w:rsidP="00161DE2">
      <w:pPr>
        <w:pStyle w:val="Lijstalinea"/>
        <w:spacing w:before="100" w:beforeAutospacing="1" w:after="100" w:afterAutospacing="1"/>
        <w:outlineLvl w:val="2"/>
        <w:rPr>
          <w:rFonts w:ascii="Arial" w:hAnsi="Arial" w:cs="Arial"/>
          <w:b/>
          <w:bCs/>
          <w:color w:val="000000"/>
          <w:sz w:val="27"/>
          <w:szCs w:val="27"/>
        </w:rPr>
      </w:pPr>
      <w:r w:rsidRPr="00E815AD">
        <w:rPr>
          <w:rFonts w:ascii="Arial" w:hAnsi="Arial" w:cs="Arial"/>
          <w:b/>
          <w:bCs/>
          <w:color w:val="000000"/>
          <w:sz w:val="27"/>
          <w:szCs w:val="27"/>
        </w:rPr>
        <w:t>Duurzaamheidsbeleid</w:t>
      </w:r>
    </w:p>
    <w:p w14:paraId="58689DF2" w14:textId="77777777" w:rsidR="00161DE2" w:rsidRPr="00E815AD" w:rsidRDefault="00161DE2" w:rsidP="00161DE2">
      <w:pPr>
        <w:pStyle w:val="Lijstalinea"/>
        <w:spacing w:before="100" w:beforeAutospacing="1" w:after="100" w:afterAutospacing="1"/>
        <w:rPr>
          <w:rFonts w:ascii="Arial" w:hAnsi="Arial" w:cs="Arial"/>
          <w:color w:val="000000"/>
        </w:rPr>
      </w:pPr>
      <w:proofErr w:type="spellStart"/>
      <w:r w:rsidRPr="00E815AD">
        <w:rPr>
          <w:rFonts w:ascii="Arial" w:hAnsi="Arial" w:cs="Arial"/>
          <w:color w:val="000000"/>
        </w:rPr>
        <w:t>Amundi</w:t>
      </w:r>
      <w:proofErr w:type="spellEnd"/>
      <w:r w:rsidRPr="00E815AD">
        <w:rPr>
          <w:rFonts w:ascii="Arial" w:hAnsi="Arial" w:cs="Arial"/>
          <w:color w:val="000000"/>
        </w:rPr>
        <w:t xml:space="preserve"> is een van de grootste vermogensbeheerders van Europa, met meer dan twee biljoen euro onder beheer. Ze positioneren zichzelf als een pionier op het gebied van duurzaam beleggen. Sinds 2020 worden alle beleggingsbeslissingen van </w:t>
      </w:r>
      <w:proofErr w:type="spellStart"/>
      <w:r w:rsidRPr="00E815AD">
        <w:rPr>
          <w:rFonts w:ascii="Arial" w:hAnsi="Arial" w:cs="Arial"/>
          <w:color w:val="000000"/>
        </w:rPr>
        <w:t>Amundi</w:t>
      </w:r>
      <w:proofErr w:type="spellEnd"/>
      <w:r w:rsidRPr="00E815AD">
        <w:rPr>
          <w:rFonts w:ascii="Arial" w:hAnsi="Arial" w:cs="Arial"/>
          <w:color w:val="000000"/>
        </w:rPr>
        <w:t xml:space="preserve"> beoordeeld aan de hand van ESG-criteria (milieu, maatschappij en </w:t>
      </w:r>
      <w:proofErr w:type="spellStart"/>
      <w:r w:rsidRPr="00E815AD">
        <w:rPr>
          <w:rFonts w:ascii="Arial" w:hAnsi="Arial" w:cs="Arial"/>
          <w:color w:val="000000"/>
        </w:rPr>
        <w:t>governance</w:t>
      </w:r>
      <w:proofErr w:type="spellEnd"/>
      <w:r w:rsidRPr="00E815AD">
        <w:rPr>
          <w:rFonts w:ascii="Arial" w:hAnsi="Arial" w:cs="Arial"/>
          <w:color w:val="000000"/>
        </w:rPr>
        <w:t>). Dat betekent dat ze bij elke investering kijken naar zaken zoals CO</w:t>
      </w:r>
      <w:r w:rsidRPr="00E815AD">
        <w:rPr>
          <w:rFonts w:ascii="Cambria Math" w:hAnsi="Cambria Math" w:cs="Cambria Math"/>
          <w:color w:val="000000"/>
        </w:rPr>
        <w:t>₂</w:t>
      </w:r>
      <w:r w:rsidRPr="00E815AD">
        <w:rPr>
          <w:rFonts w:ascii="Arial" w:hAnsi="Arial" w:cs="Arial"/>
          <w:color w:val="000000"/>
        </w:rPr>
        <w:t xml:space="preserve">-uitstoot, arbeidsomstandigheden en </w:t>
      </w:r>
      <w:proofErr w:type="spellStart"/>
      <w:r w:rsidRPr="00E815AD">
        <w:rPr>
          <w:rFonts w:ascii="Arial" w:hAnsi="Arial" w:cs="Arial"/>
          <w:color w:val="000000"/>
        </w:rPr>
        <w:t>bestuurstransparantie</w:t>
      </w:r>
      <w:proofErr w:type="spellEnd"/>
      <w:r w:rsidRPr="00E815AD">
        <w:rPr>
          <w:rFonts w:ascii="Arial" w:hAnsi="Arial" w:cs="Arial"/>
          <w:color w:val="000000"/>
        </w:rPr>
        <w:t>.</w:t>
      </w:r>
      <w:r>
        <w:rPr>
          <w:rFonts w:ascii="Arial" w:hAnsi="Arial" w:cs="Arial"/>
          <w:color w:val="000000"/>
        </w:rPr>
        <w:t xml:space="preserve"> </w:t>
      </w:r>
      <w:r w:rsidRPr="00E815AD">
        <w:rPr>
          <w:rFonts w:ascii="Arial" w:hAnsi="Arial" w:cs="Arial"/>
          <w:color w:val="000000"/>
        </w:rPr>
        <w:t xml:space="preserve">Daarnaast heeft </w:t>
      </w:r>
      <w:proofErr w:type="spellStart"/>
      <w:r w:rsidRPr="00E815AD">
        <w:rPr>
          <w:rFonts w:ascii="Arial" w:hAnsi="Arial" w:cs="Arial"/>
          <w:color w:val="000000"/>
        </w:rPr>
        <w:t>Amundi</w:t>
      </w:r>
      <w:proofErr w:type="spellEnd"/>
      <w:r w:rsidRPr="00E815AD">
        <w:rPr>
          <w:rFonts w:ascii="Arial" w:hAnsi="Arial" w:cs="Arial"/>
          <w:color w:val="000000"/>
        </w:rPr>
        <w:t xml:space="preserve"> duidelijke klimaatdoelen gesteld: ze willen tegen 2050 een volledig CO</w:t>
      </w:r>
      <w:r w:rsidRPr="00E815AD">
        <w:rPr>
          <w:rFonts w:ascii="Cambria Math" w:hAnsi="Cambria Math" w:cs="Cambria Math"/>
          <w:color w:val="000000"/>
        </w:rPr>
        <w:t>₂</w:t>
      </w:r>
      <w:r w:rsidRPr="00E815AD">
        <w:rPr>
          <w:rFonts w:ascii="Arial" w:hAnsi="Arial" w:cs="Arial"/>
          <w:color w:val="000000"/>
        </w:rPr>
        <w:t xml:space="preserve">-neutrale portefeuille bereiken. Het bedrijf is aangesloten bij het internationale Net Zero Asset Managers </w:t>
      </w:r>
      <w:proofErr w:type="spellStart"/>
      <w:r w:rsidRPr="00E815AD">
        <w:rPr>
          <w:rFonts w:ascii="Arial" w:hAnsi="Arial" w:cs="Arial"/>
          <w:color w:val="000000"/>
        </w:rPr>
        <w:t>Initiative</w:t>
      </w:r>
      <w:proofErr w:type="spellEnd"/>
      <w:r w:rsidRPr="00E815AD">
        <w:rPr>
          <w:rFonts w:ascii="Arial" w:hAnsi="Arial" w:cs="Arial"/>
          <w:color w:val="000000"/>
        </w:rPr>
        <w:t>, dat toeziet op het realiseren van die klimaatneutraliteit. In hun jaarlijkse rapportages (</w:t>
      </w:r>
      <w:proofErr w:type="spellStart"/>
      <w:r w:rsidRPr="00E815AD">
        <w:rPr>
          <w:rFonts w:ascii="Arial" w:hAnsi="Arial" w:cs="Arial"/>
          <w:color w:val="000000"/>
        </w:rPr>
        <w:t>Amundi</w:t>
      </w:r>
      <w:proofErr w:type="spellEnd"/>
      <w:r w:rsidRPr="00E815AD">
        <w:rPr>
          <w:rFonts w:ascii="Arial" w:hAnsi="Arial" w:cs="Arial"/>
          <w:color w:val="000000"/>
        </w:rPr>
        <w:t xml:space="preserve">, 2024) publiceren ze concrete cijfers over de voortgang, zoals het percentage bedrijven dat voldoet aan hun ESG-standaarden. Toch blijft er kritiek: sommige beleggers vinden dat </w:t>
      </w:r>
      <w:proofErr w:type="spellStart"/>
      <w:r w:rsidRPr="00E815AD">
        <w:rPr>
          <w:rFonts w:ascii="Arial" w:hAnsi="Arial" w:cs="Arial"/>
          <w:color w:val="000000"/>
        </w:rPr>
        <w:t>Amundi</w:t>
      </w:r>
      <w:proofErr w:type="spellEnd"/>
      <w:r w:rsidRPr="00E815AD">
        <w:rPr>
          <w:rFonts w:ascii="Arial" w:hAnsi="Arial" w:cs="Arial"/>
          <w:color w:val="000000"/>
        </w:rPr>
        <w:t xml:space="preserve"> te veel vertrouwen op zelfbeoordelingen van bedrijven, waardoor het beleid in de praktijk minder streng is dan op papier lijkt.</w:t>
      </w:r>
    </w:p>
    <w:p w14:paraId="40802268" w14:textId="77777777" w:rsidR="00161DE2" w:rsidRPr="00E815AD" w:rsidRDefault="00161DE2" w:rsidP="00161DE2">
      <w:pPr>
        <w:pStyle w:val="Lijstalinea"/>
        <w:spacing w:before="100" w:beforeAutospacing="1" w:after="100" w:afterAutospacing="1"/>
        <w:outlineLvl w:val="2"/>
        <w:rPr>
          <w:rFonts w:ascii="Arial" w:hAnsi="Arial" w:cs="Arial"/>
          <w:b/>
          <w:bCs/>
          <w:color w:val="000000"/>
          <w:sz w:val="27"/>
          <w:szCs w:val="27"/>
        </w:rPr>
      </w:pPr>
      <w:r w:rsidRPr="00E815AD">
        <w:rPr>
          <w:rFonts w:ascii="Arial" w:hAnsi="Arial" w:cs="Arial"/>
          <w:b/>
          <w:bCs/>
          <w:color w:val="000000"/>
          <w:sz w:val="27"/>
          <w:szCs w:val="27"/>
        </w:rPr>
        <w:br/>
      </w:r>
      <w:proofErr w:type="spellStart"/>
      <w:r w:rsidRPr="00E815AD">
        <w:rPr>
          <w:rFonts w:ascii="Arial" w:hAnsi="Arial" w:cs="Arial"/>
          <w:b/>
          <w:bCs/>
          <w:color w:val="000000"/>
          <w:sz w:val="27"/>
          <w:szCs w:val="27"/>
        </w:rPr>
        <w:t>Governance</w:t>
      </w:r>
      <w:proofErr w:type="spellEnd"/>
    </w:p>
    <w:p w14:paraId="0EB4D34A" w14:textId="77777777" w:rsidR="00161DE2" w:rsidRPr="00E815AD" w:rsidRDefault="00161DE2" w:rsidP="00161DE2">
      <w:pPr>
        <w:pStyle w:val="Lijstalinea"/>
        <w:spacing w:before="100" w:beforeAutospacing="1" w:after="100" w:afterAutospacing="1"/>
        <w:rPr>
          <w:rFonts w:ascii="Arial" w:hAnsi="Arial" w:cs="Arial"/>
          <w:color w:val="000000"/>
        </w:rPr>
      </w:pPr>
      <w:proofErr w:type="spellStart"/>
      <w:r w:rsidRPr="00E815AD">
        <w:rPr>
          <w:rFonts w:ascii="Arial" w:hAnsi="Arial" w:cs="Arial"/>
          <w:color w:val="000000"/>
        </w:rPr>
        <w:t>Amundi</w:t>
      </w:r>
      <w:proofErr w:type="spellEnd"/>
      <w:r w:rsidRPr="00E815AD">
        <w:rPr>
          <w:rFonts w:ascii="Arial" w:hAnsi="Arial" w:cs="Arial"/>
          <w:color w:val="000000"/>
        </w:rPr>
        <w:t xml:space="preserve"> heeft een vrij transparante bestuursstructuur. Het bedrijf is onderdeel van Crédit Agricole, wat zorgt voor stabiliteit, maar ook een hiërarchische en trage besluitvorming met zich meebrengt. Positief is dat de beloningsstructuur deels gekoppeld is aan duurzame prestaties: bestuurders en fondsmanagers worden beloond wanneer ze ESG-doelen behalen, wat duurzame keuzes stimuleert. Er is ook toezicht op ethisch gedrag en naleving van internationale richtlijnen, zoals de Franse Corporate </w:t>
      </w:r>
      <w:proofErr w:type="spellStart"/>
      <w:r w:rsidRPr="00E815AD">
        <w:rPr>
          <w:rFonts w:ascii="Arial" w:hAnsi="Arial" w:cs="Arial"/>
          <w:color w:val="000000"/>
        </w:rPr>
        <w:t>Governance</w:t>
      </w:r>
      <w:proofErr w:type="spellEnd"/>
      <w:r w:rsidRPr="00E815AD">
        <w:rPr>
          <w:rFonts w:ascii="Arial" w:hAnsi="Arial" w:cs="Arial"/>
          <w:color w:val="000000"/>
        </w:rPr>
        <w:t xml:space="preserve"> Code. Wel wordt soms opgemerkt dat het bestuur door zijn grootte wat afstandelijk is, waardoor het directe maatschappelijke effect van beslissingen niet altijd even zichtbaar is.</w:t>
      </w:r>
    </w:p>
    <w:p w14:paraId="4A1A79C0" w14:textId="77777777" w:rsidR="00161DE2" w:rsidRPr="00E815AD" w:rsidRDefault="00161DE2" w:rsidP="00161DE2">
      <w:pPr>
        <w:pStyle w:val="Lijstalinea"/>
        <w:spacing w:before="100" w:beforeAutospacing="1" w:after="100" w:afterAutospacing="1"/>
        <w:outlineLvl w:val="2"/>
        <w:rPr>
          <w:rFonts w:ascii="Arial" w:hAnsi="Arial" w:cs="Arial"/>
          <w:b/>
          <w:bCs/>
          <w:color w:val="000000"/>
          <w:sz w:val="27"/>
          <w:szCs w:val="27"/>
        </w:rPr>
      </w:pPr>
      <w:r w:rsidRPr="00E815AD">
        <w:rPr>
          <w:rFonts w:ascii="Arial" w:hAnsi="Arial" w:cs="Arial"/>
          <w:b/>
          <w:bCs/>
          <w:color w:val="000000"/>
          <w:sz w:val="27"/>
          <w:szCs w:val="27"/>
        </w:rPr>
        <w:lastRenderedPageBreak/>
        <w:br/>
        <w:t>Bad Press</w:t>
      </w:r>
    </w:p>
    <w:p w14:paraId="74BD999B" w14:textId="77777777" w:rsidR="00161DE2" w:rsidRPr="00E815AD" w:rsidRDefault="00161DE2" w:rsidP="00161DE2">
      <w:pPr>
        <w:pStyle w:val="Lijstalinea"/>
        <w:spacing w:before="100" w:beforeAutospacing="1" w:after="100" w:afterAutospacing="1"/>
        <w:rPr>
          <w:rFonts w:ascii="Arial" w:hAnsi="Arial" w:cs="Arial"/>
          <w:color w:val="000000"/>
        </w:rPr>
      </w:pPr>
      <w:r w:rsidRPr="00E815AD">
        <w:rPr>
          <w:rFonts w:ascii="Arial" w:hAnsi="Arial" w:cs="Arial"/>
          <w:color w:val="000000"/>
        </w:rPr>
        <w:t xml:space="preserve">Ondanks het sterke imago kreeg </w:t>
      </w:r>
      <w:proofErr w:type="spellStart"/>
      <w:r w:rsidRPr="00E815AD">
        <w:rPr>
          <w:rFonts w:ascii="Arial" w:hAnsi="Arial" w:cs="Arial"/>
          <w:color w:val="000000"/>
        </w:rPr>
        <w:t>Amundi</w:t>
      </w:r>
      <w:proofErr w:type="spellEnd"/>
      <w:r w:rsidRPr="00E815AD">
        <w:rPr>
          <w:rFonts w:ascii="Arial" w:hAnsi="Arial" w:cs="Arial"/>
          <w:color w:val="000000"/>
        </w:rPr>
        <w:t xml:space="preserve"> in 2024 kritiek omdat ze nog steeds investeerden in bedrijven die betrokken zijn bij fossiele brandstoffen, zoals </w:t>
      </w:r>
      <w:proofErr w:type="spellStart"/>
      <w:r w:rsidRPr="00E815AD">
        <w:rPr>
          <w:rFonts w:ascii="Arial" w:hAnsi="Arial" w:cs="Arial"/>
          <w:color w:val="000000"/>
        </w:rPr>
        <w:t>TotalEnergies</w:t>
      </w:r>
      <w:proofErr w:type="spellEnd"/>
      <w:r w:rsidRPr="00E815AD">
        <w:rPr>
          <w:rFonts w:ascii="Arial" w:hAnsi="Arial" w:cs="Arial"/>
          <w:color w:val="000000"/>
        </w:rPr>
        <w:t xml:space="preserve"> (Financial Times, 2024). Dit leidde tot vragen over hun werkelijke toewijding aan duurzaamheid. </w:t>
      </w:r>
      <w:proofErr w:type="spellStart"/>
      <w:r w:rsidRPr="00E815AD">
        <w:rPr>
          <w:rFonts w:ascii="Arial" w:hAnsi="Arial" w:cs="Arial"/>
          <w:color w:val="000000"/>
        </w:rPr>
        <w:t>Amundi</w:t>
      </w:r>
      <w:proofErr w:type="spellEnd"/>
      <w:r w:rsidRPr="00E815AD">
        <w:rPr>
          <w:rFonts w:ascii="Arial" w:hAnsi="Arial" w:cs="Arial"/>
          <w:color w:val="000000"/>
        </w:rPr>
        <w:t xml:space="preserve"> reageerde hierop door strengere selectiecriteria aan te kondigen, maar concrete resultaten daarvan zijn nog beperkt zichtbaar. Hoewel de reputatieschade relatief klein bleef, toont dit wel dat </w:t>
      </w:r>
      <w:proofErr w:type="spellStart"/>
      <w:r w:rsidRPr="00E815AD">
        <w:rPr>
          <w:rFonts w:ascii="Arial" w:hAnsi="Arial" w:cs="Arial"/>
          <w:color w:val="000000"/>
        </w:rPr>
        <w:t>Amundi</w:t>
      </w:r>
      <w:proofErr w:type="spellEnd"/>
      <w:r w:rsidRPr="00E815AD">
        <w:rPr>
          <w:rFonts w:ascii="Arial" w:hAnsi="Arial" w:cs="Arial"/>
          <w:color w:val="000000"/>
        </w:rPr>
        <w:t xml:space="preserve"> nog zoekende is naar de balans tussen financieel rendement en duurzame impact</w:t>
      </w:r>
    </w:p>
    <w:p w14:paraId="28BACDDD" w14:textId="77777777" w:rsidR="00161DE2" w:rsidRPr="0068750A" w:rsidRDefault="00161DE2" w:rsidP="00161DE2">
      <w:pPr>
        <w:pStyle w:val="Lijstalinea"/>
        <w:spacing w:before="100" w:beforeAutospacing="1" w:after="100" w:afterAutospacing="1"/>
        <w:rPr>
          <w:color w:val="000000"/>
        </w:rPr>
      </w:pPr>
    </w:p>
    <w:p w14:paraId="2178692F" w14:textId="77777777" w:rsidR="00161DE2" w:rsidRPr="009C3EC5" w:rsidRDefault="00161DE2" w:rsidP="00161DE2">
      <w:pPr>
        <w:pStyle w:val="Lijstalinea"/>
        <w:numPr>
          <w:ilvl w:val="0"/>
          <w:numId w:val="9"/>
        </w:numPr>
        <w:spacing w:before="100" w:beforeAutospacing="1" w:after="100" w:afterAutospacing="1" w:line="240" w:lineRule="auto"/>
        <w:outlineLvl w:val="1"/>
        <w:rPr>
          <w:rFonts w:ascii="Arial" w:hAnsi="Arial" w:cs="Arial"/>
          <w:b/>
          <w:bCs/>
          <w:color w:val="000000"/>
          <w:sz w:val="36"/>
          <w:szCs w:val="36"/>
        </w:rPr>
      </w:pPr>
      <w:r w:rsidRPr="009C3EC5">
        <w:rPr>
          <w:rFonts w:ascii="Arial" w:hAnsi="Arial" w:cs="Arial"/>
          <w:b/>
          <w:bCs/>
          <w:color w:val="000000"/>
          <w:sz w:val="36"/>
          <w:szCs w:val="36"/>
        </w:rPr>
        <w:t xml:space="preserve">ASN Impact </w:t>
      </w:r>
      <w:proofErr w:type="spellStart"/>
      <w:r w:rsidRPr="009C3EC5">
        <w:rPr>
          <w:rFonts w:ascii="Arial" w:hAnsi="Arial" w:cs="Arial"/>
          <w:b/>
          <w:bCs/>
          <w:color w:val="000000"/>
          <w:sz w:val="36"/>
          <w:szCs w:val="36"/>
        </w:rPr>
        <w:t>Investors</w:t>
      </w:r>
      <w:proofErr w:type="spellEnd"/>
    </w:p>
    <w:p w14:paraId="2367F802" w14:textId="77777777" w:rsidR="00161DE2" w:rsidRDefault="00161DE2" w:rsidP="00161DE2">
      <w:pPr>
        <w:pStyle w:val="Lijstalinea"/>
        <w:spacing w:before="100" w:beforeAutospacing="1" w:after="100" w:afterAutospacing="1"/>
        <w:outlineLvl w:val="2"/>
        <w:rPr>
          <w:b/>
          <w:bCs/>
          <w:color w:val="000000"/>
          <w:sz w:val="27"/>
          <w:szCs w:val="27"/>
        </w:rPr>
      </w:pPr>
    </w:p>
    <w:p w14:paraId="66A22696" w14:textId="77777777" w:rsidR="00161DE2" w:rsidRPr="000F5306" w:rsidRDefault="00161DE2" w:rsidP="00161DE2">
      <w:pPr>
        <w:pStyle w:val="Lijstalinea"/>
        <w:spacing w:before="100" w:beforeAutospacing="1" w:after="100" w:afterAutospacing="1"/>
        <w:outlineLvl w:val="2"/>
        <w:rPr>
          <w:rFonts w:ascii="Arial" w:hAnsi="Arial" w:cs="Arial"/>
          <w:b/>
          <w:bCs/>
          <w:color w:val="000000"/>
        </w:rPr>
      </w:pPr>
      <w:r w:rsidRPr="000F5306">
        <w:rPr>
          <w:rFonts w:ascii="Arial" w:hAnsi="Arial" w:cs="Arial"/>
          <w:b/>
          <w:bCs/>
          <w:color w:val="000000"/>
        </w:rPr>
        <w:t>Duurzaamheidsbeleid</w:t>
      </w:r>
    </w:p>
    <w:p w14:paraId="75AF3BBB" w14:textId="77777777" w:rsidR="00161DE2" w:rsidRDefault="00161DE2" w:rsidP="00161DE2">
      <w:pPr>
        <w:pStyle w:val="Lijstalinea"/>
        <w:spacing w:before="100" w:beforeAutospacing="1" w:after="100" w:afterAutospacing="1"/>
        <w:rPr>
          <w:rFonts w:ascii="Arial" w:hAnsi="Arial" w:cs="Arial"/>
          <w:color w:val="000000"/>
        </w:rPr>
      </w:pPr>
      <w:r w:rsidRPr="000F5306">
        <w:rPr>
          <w:rFonts w:ascii="Arial" w:hAnsi="Arial" w:cs="Arial"/>
          <w:color w:val="000000"/>
        </w:rPr>
        <w:t xml:space="preserve">ASN Impact </w:t>
      </w:r>
      <w:proofErr w:type="spellStart"/>
      <w:r w:rsidRPr="000F5306">
        <w:rPr>
          <w:rFonts w:ascii="Arial" w:hAnsi="Arial" w:cs="Arial"/>
          <w:color w:val="000000"/>
        </w:rPr>
        <w:t>Investors</w:t>
      </w:r>
      <w:proofErr w:type="spellEnd"/>
      <w:r w:rsidRPr="000F5306">
        <w:rPr>
          <w:rFonts w:ascii="Arial" w:hAnsi="Arial" w:cs="Arial"/>
          <w:color w:val="000000"/>
        </w:rPr>
        <w:t xml:space="preserve"> is volledig gericht op duurzaam en sociaal verantwoord beleggen. Ze beheren ongeveer vijf miljard euro aan vermogen en investeren uitsluitend in projecten die bijdragen aan een beter klimaat, biodiversiteit en eerlijke arbeidsomstandigheden. In hun jaarverslag (ASN, 2024) staat dat al hun fondsen onder de strengste duurzaamheidsclassificatie vallen: SFDR-artikel 9. Dat betekent dat elk fonds expliciet bijdraagt aan duurzame doelstellingen.</w:t>
      </w:r>
      <w:r>
        <w:rPr>
          <w:rFonts w:ascii="Arial" w:hAnsi="Arial" w:cs="Arial"/>
          <w:color w:val="000000"/>
        </w:rPr>
        <w:t xml:space="preserve"> </w:t>
      </w:r>
      <w:r w:rsidRPr="000F5306">
        <w:rPr>
          <w:rFonts w:ascii="Arial" w:hAnsi="Arial" w:cs="Arial"/>
          <w:color w:val="000000"/>
        </w:rPr>
        <w:t>ASN publiceert daarnaast jaarlijks een </w:t>
      </w:r>
      <w:r w:rsidRPr="000F5306">
        <w:rPr>
          <w:rFonts w:ascii="Arial" w:hAnsi="Arial" w:cs="Arial"/>
          <w:b/>
          <w:bCs/>
          <w:color w:val="000000"/>
        </w:rPr>
        <w:t>Impact Report</w:t>
      </w:r>
      <w:r w:rsidRPr="000F5306">
        <w:rPr>
          <w:rFonts w:ascii="Arial" w:hAnsi="Arial" w:cs="Arial"/>
          <w:color w:val="000000"/>
        </w:rPr>
        <w:t>, waarin ze transparant rapporteren over hun resultaten bijvoorbeeld hoeveel ton CO</w:t>
      </w:r>
      <w:r w:rsidRPr="000F5306">
        <w:rPr>
          <w:rFonts w:ascii="Cambria Math" w:hAnsi="Cambria Math" w:cs="Cambria Math"/>
          <w:color w:val="000000"/>
        </w:rPr>
        <w:t>₂</w:t>
      </w:r>
      <w:r w:rsidRPr="000F5306">
        <w:rPr>
          <w:rFonts w:ascii="Arial" w:hAnsi="Arial" w:cs="Arial"/>
          <w:color w:val="000000"/>
        </w:rPr>
        <w:t xml:space="preserve">-uitstoot ze hebben vermeden, hoeveel duurzame woningen zijn gefinancierd en welke bijdrage ze leveren aan de </w:t>
      </w:r>
      <w:proofErr w:type="spellStart"/>
      <w:r w:rsidRPr="000F5306">
        <w:rPr>
          <w:rFonts w:ascii="Arial" w:hAnsi="Arial" w:cs="Arial"/>
          <w:color w:val="000000"/>
        </w:rPr>
        <w:t>Sustainable</w:t>
      </w:r>
      <w:proofErr w:type="spellEnd"/>
      <w:r w:rsidRPr="000F5306">
        <w:rPr>
          <w:rFonts w:ascii="Arial" w:hAnsi="Arial" w:cs="Arial"/>
          <w:color w:val="000000"/>
        </w:rPr>
        <w:t xml:space="preserve"> Development Goals (</w:t>
      </w:r>
      <w:proofErr w:type="spellStart"/>
      <w:r w:rsidRPr="000F5306">
        <w:rPr>
          <w:rFonts w:ascii="Arial" w:hAnsi="Arial" w:cs="Arial"/>
          <w:color w:val="000000"/>
        </w:rPr>
        <w:t>SDG’s</w:t>
      </w:r>
      <w:proofErr w:type="spellEnd"/>
      <w:r w:rsidRPr="000F5306">
        <w:rPr>
          <w:rFonts w:ascii="Arial" w:hAnsi="Arial" w:cs="Arial"/>
          <w:color w:val="000000"/>
        </w:rPr>
        <w:t>). Hun beleid is dus niet alleen ambitieus, maar ook concreet meetbaar, wat ASN onderscheidt van veel andere aanbieders.</w:t>
      </w:r>
    </w:p>
    <w:p w14:paraId="5E935CB5" w14:textId="77777777" w:rsidR="00161DE2" w:rsidRDefault="00161DE2" w:rsidP="00161DE2">
      <w:pPr>
        <w:pStyle w:val="Lijstalinea"/>
        <w:spacing w:before="100" w:beforeAutospacing="1" w:after="100" w:afterAutospacing="1"/>
        <w:rPr>
          <w:rFonts w:ascii="Arial" w:hAnsi="Arial" w:cs="Arial"/>
          <w:color w:val="000000"/>
        </w:rPr>
      </w:pPr>
    </w:p>
    <w:p w14:paraId="56587B9F" w14:textId="77777777" w:rsidR="00161DE2" w:rsidRPr="000F5306" w:rsidRDefault="00161DE2" w:rsidP="00161DE2">
      <w:pPr>
        <w:pStyle w:val="Lijstalinea"/>
        <w:spacing w:before="100" w:beforeAutospacing="1" w:after="100" w:afterAutospacing="1"/>
        <w:rPr>
          <w:rFonts w:ascii="Arial" w:hAnsi="Arial" w:cs="Arial"/>
          <w:color w:val="000000"/>
        </w:rPr>
      </w:pPr>
      <w:proofErr w:type="spellStart"/>
      <w:r w:rsidRPr="000F5306">
        <w:rPr>
          <w:rFonts w:ascii="Arial" w:hAnsi="Arial" w:cs="Arial"/>
          <w:b/>
          <w:bCs/>
          <w:color w:val="000000"/>
        </w:rPr>
        <w:t>Governance</w:t>
      </w:r>
      <w:proofErr w:type="spellEnd"/>
      <w:r>
        <w:rPr>
          <w:rFonts w:ascii="Arial" w:hAnsi="Arial" w:cs="Arial"/>
          <w:b/>
          <w:bCs/>
          <w:color w:val="000000"/>
        </w:rPr>
        <w:br/>
      </w:r>
      <w:r w:rsidRPr="000F5306">
        <w:rPr>
          <w:rFonts w:ascii="Arial" w:hAnsi="Arial" w:cs="Arial"/>
          <w:color w:val="000000"/>
        </w:rPr>
        <w:t xml:space="preserve">ASN heeft een helder en eerlijk bestuursmodel dat sterk gericht is op maatschappelijke verantwoordelijkheid. Ze hanteren geen bonussen of variabele beloningen voor bestuurders, om te voorkomen dat winstbejag boven duurzaamheid komt te staan. Beslissingen worden genomen volgens de Nederlandse Corporate </w:t>
      </w:r>
      <w:proofErr w:type="spellStart"/>
      <w:r w:rsidRPr="000F5306">
        <w:rPr>
          <w:rFonts w:ascii="Arial" w:hAnsi="Arial" w:cs="Arial"/>
          <w:color w:val="000000"/>
        </w:rPr>
        <w:t>Governance</w:t>
      </w:r>
      <w:proofErr w:type="spellEnd"/>
      <w:r w:rsidRPr="000F5306">
        <w:rPr>
          <w:rFonts w:ascii="Arial" w:hAnsi="Arial" w:cs="Arial"/>
          <w:color w:val="000000"/>
        </w:rPr>
        <w:t xml:space="preserve"> Code, en toezicht vindt plaats via een onafhankelijke raad van toezicht. Ook hecht ASN veel waarde aan betrokkenheid van medewerkers en klanten bij de missie van de organisatie. Deze transparante en ethische werkwijze maakt ASN betrouwbaar en consistent in hun beleid.</w:t>
      </w:r>
    </w:p>
    <w:p w14:paraId="1B8B63DF" w14:textId="77777777" w:rsidR="00161DE2" w:rsidRDefault="00161DE2" w:rsidP="00161DE2">
      <w:pPr>
        <w:pStyle w:val="Lijstalinea"/>
        <w:spacing w:before="100" w:beforeAutospacing="1" w:after="100" w:afterAutospacing="1"/>
        <w:outlineLvl w:val="2"/>
        <w:rPr>
          <w:rFonts w:ascii="Arial" w:hAnsi="Arial" w:cs="Arial"/>
          <w:b/>
          <w:bCs/>
          <w:color w:val="000000"/>
        </w:rPr>
      </w:pPr>
    </w:p>
    <w:p w14:paraId="4D832512" w14:textId="77777777" w:rsidR="00161DE2" w:rsidRPr="000F5306" w:rsidRDefault="00161DE2" w:rsidP="00161DE2">
      <w:pPr>
        <w:pStyle w:val="Lijstalinea"/>
        <w:spacing w:before="100" w:beforeAutospacing="1" w:after="100" w:afterAutospacing="1"/>
        <w:outlineLvl w:val="2"/>
        <w:rPr>
          <w:rFonts w:ascii="Arial" w:hAnsi="Arial" w:cs="Arial"/>
          <w:b/>
          <w:bCs/>
          <w:color w:val="000000"/>
        </w:rPr>
      </w:pPr>
      <w:r w:rsidRPr="000F5306">
        <w:rPr>
          <w:rFonts w:ascii="Arial" w:hAnsi="Arial" w:cs="Arial"/>
          <w:b/>
          <w:bCs/>
          <w:color w:val="000000"/>
        </w:rPr>
        <w:t>Bad Press</w:t>
      </w:r>
    </w:p>
    <w:p w14:paraId="3B32132F" w14:textId="77777777" w:rsidR="00161DE2" w:rsidRDefault="00161DE2" w:rsidP="00161DE2">
      <w:pPr>
        <w:pStyle w:val="Lijstalinea"/>
        <w:spacing w:before="100" w:beforeAutospacing="1" w:after="100" w:afterAutospacing="1"/>
        <w:rPr>
          <w:rFonts w:ascii="Arial" w:hAnsi="Arial" w:cs="Arial"/>
          <w:color w:val="000000"/>
        </w:rPr>
      </w:pPr>
      <w:r w:rsidRPr="000F5306">
        <w:rPr>
          <w:rFonts w:ascii="Arial" w:hAnsi="Arial" w:cs="Arial"/>
          <w:color w:val="000000"/>
        </w:rPr>
        <w:t xml:space="preserve">ASN heeft de afgelopen jaren nauwelijks negatieve publiciteit gehad. Sterker nog, toezichthouders zoals de Autoriteit Financiële Markten (AFM, 2024) hebben ASN geprezen als voorbeeld van verantwoord beleggen. De organisatie is consequent in haar keuzes en communiceert duidelijk naar </w:t>
      </w:r>
      <w:r w:rsidRPr="000F5306">
        <w:rPr>
          <w:rFonts w:ascii="Arial" w:hAnsi="Arial" w:cs="Arial"/>
          <w:color w:val="000000"/>
        </w:rPr>
        <w:lastRenderedPageBreak/>
        <w:t>klanten over haar beleid. Omdat ASN bewust kiest om niet te investeren in fossiele brandstoffen of omstreden sectoren, blijft hun reputatie zuiver en stabiel. Hierdoor genieten ze een hoog vertrouwen bij zowel klanten als maatschappelijke organisaties.</w:t>
      </w:r>
    </w:p>
    <w:p w14:paraId="0B16BE48" w14:textId="77777777" w:rsidR="00161DE2" w:rsidRDefault="00161DE2" w:rsidP="00161DE2">
      <w:pPr>
        <w:pStyle w:val="Lijstalinea"/>
        <w:spacing w:before="100" w:beforeAutospacing="1" w:after="100" w:afterAutospacing="1"/>
        <w:rPr>
          <w:rFonts w:ascii="Arial" w:hAnsi="Arial" w:cs="Arial"/>
          <w:color w:val="000000"/>
        </w:rPr>
      </w:pPr>
    </w:p>
    <w:p w14:paraId="028E7939" w14:textId="77777777" w:rsidR="00161DE2" w:rsidRDefault="00161DE2" w:rsidP="00161DE2">
      <w:pPr>
        <w:pStyle w:val="Lijstalinea"/>
        <w:spacing w:before="100" w:beforeAutospacing="1" w:after="100" w:afterAutospacing="1"/>
        <w:rPr>
          <w:rFonts w:ascii="Arial" w:hAnsi="Arial" w:cs="Arial"/>
          <w:color w:val="000000"/>
        </w:rPr>
      </w:pPr>
    </w:p>
    <w:p w14:paraId="2ECD2180" w14:textId="77777777" w:rsidR="00161DE2" w:rsidRDefault="00161DE2" w:rsidP="00161DE2">
      <w:pPr>
        <w:pStyle w:val="Lijstalinea"/>
        <w:spacing w:before="100" w:beforeAutospacing="1" w:after="100" w:afterAutospacing="1"/>
        <w:rPr>
          <w:rFonts w:ascii="Arial" w:hAnsi="Arial" w:cs="Arial"/>
          <w:color w:val="000000"/>
        </w:rPr>
      </w:pPr>
    </w:p>
    <w:p w14:paraId="0E8B0246" w14:textId="77777777" w:rsidR="00161DE2" w:rsidRPr="000F5306" w:rsidRDefault="00161DE2" w:rsidP="00161DE2">
      <w:pPr>
        <w:pStyle w:val="Lijstalinea"/>
        <w:spacing w:before="100" w:beforeAutospacing="1" w:after="100" w:afterAutospacing="1"/>
        <w:rPr>
          <w:rFonts w:ascii="Arial" w:hAnsi="Arial" w:cs="Arial"/>
          <w:color w:val="000000"/>
        </w:rPr>
      </w:pPr>
    </w:p>
    <w:p w14:paraId="05E2E896" w14:textId="77777777" w:rsidR="00161DE2" w:rsidRPr="0068750A" w:rsidRDefault="00161DE2" w:rsidP="00161DE2">
      <w:pPr>
        <w:rPr>
          <w:rFonts w:ascii="Arial" w:hAnsi="Arial" w:cs="Arial"/>
        </w:rPr>
      </w:pPr>
    </w:p>
    <w:p w14:paraId="6D017BF6" w14:textId="77777777" w:rsidR="00161DE2" w:rsidRPr="00783DAA" w:rsidRDefault="00161DE2" w:rsidP="00161DE2">
      <w:pPr>
        <w:pStyle w:val="Lijstalinea"/>
        <w:numPr>
          <w:ilvl w:val="0"/>
          <w:numId w:val="9"/>
        </w:numPr>
        <w:spacing w:before="100" w:beforeAutospacing="1" w:after="100" w:afterAutospacing="1" w:line="240" w:lineRule="auto"/>
        <w:outlineLvl w:val="1"/>
        <w:rPr>
          <w:rFonts w:ascii="Arial" w:hAnsi="Arial" w:cs="Arial"/>
          <w:b/>
          <w:bCs/>
          <w:color w:val="000000"/>
          <w:sz w:val="36"/>
          <w:szCs w:val="36"/>
        </w:rPr>
      </w:pPr>
      <w:r w:rsidRPr="00783DAA">
        <w:rPr>
          <w:rFonts w:ascii="Arial" w:hAnsi="Arial" w:cs="Arial"/>
          <w:b/>
          <w:bCs/>
          <w:color w:val="000000"/>
          <w:sz w:val="36"/>
          <w:szCs w:val="36"/>
        </w:rPr>
        <w:t>Triodos Investment Management</w:t>
      </w:r>
    </w:p>
    <w:p w14:paraId="6CFD726B" w14:textId="77777777" w:rsidR="00161DE2" w:rsidRDefault="00161DE2" w:rsidP="00161DE2">
      <w:pPr>
        <w:pStyle w:val="Lijstalinea"/>
        <w:spacing w:before="100" w:beforeAutospacing="1" w:after="100" w:afterAutospacing="1"/>
        <w:outlineLvl w:val="2"/>
        <w:rPr>
          <w:b/>
          <w:bCs/>
          <w:color w:val="000000"/>
          <w:sz w:val="27"/>
          <w:szCs w:val="27"/>
        </w:rPr>
      </w:pPr>
    </w:p>
    <w:p w14:paraId="521B5BFF" w14:textId="77777777" w:rsidR="00161DE2" w:rsidRPr="004A2300" w:rsidRDefault="00161DE2" w:rsidP="00161DE2">
      <w:pPr>
        <w:pStyle w:val="Lijstalinea"/>
        <w:spacing w:before="100" w:beforeAutospacing="1" w:after="100" w:afterAutospacing="1"/>
        <w:outlineLvl w:val="2"/>
        <w:rPr>
          <w:rFonts w:ascii="Arial" w:hAnsi="Arial" w:cs="Arial"/>
          <w:b/>
          <w:bCs/>
          <w:color w:val="000000"/>
        </w:rPr>
      </w:pPr>
      <w:r w:rsidRPr="004A2300">
        <w:rPr>
          <w:rFonts w:ascii="Arial" w:hAnsi="Arial" w:cs="Arial"/>
          <w:b/>
          <w:bCs/>
          <w:color w:val="000000"/>
        </w:rPr>
        <w:t>Duurzaamheidsbeleid</w:t>
      </w:r>
    </w:p>
    <w:p w14:paraId="7EA5197A" w14:textId="77777777" w:rsidR="00161DE2" w:rsidRPr="004A2300" w:rsidRDefault="00161DE2" w:rsidP="00161DE2">
      <w:pPr>
        <w:pStyle w:val="Lijstalinea"/>
        <w:spacing w:before="100" w:beforeAutospacing="1" w:after="100" w:afterAutospacing="1"/>
        <w:rPr>
          <w:rFonts w:ascii="Arial" w:hAnsi="Arial" w:cs="Arial"/>
          <w:color w:val="000000"/>
        </w:rPr>
      </w:pPr>
      <w:r w:rsidRPr="004A2300">
        <w:rPr>
          <w:rFonts w:ascii="Arial" w:hAnsi="Arial" w:cs="Arial"/>
          <w:color w:val="000000"/>
        </w:rPr>
        <w:t>Triodos Investment Management is onderdeel van Triodos Bank en richt zich volledig op het financieren van projecten die positieve maatschappelijke verandering stimuleren. Ze beheren ongeveer vijf miljard euro aan vermogen en werken volgens de Europese SFDR-regels, waarbij het merendeel van hun fondsen onder artikel 9 valt (Triodos IM, 2024).</w:t>
      </w:r>
      <w:r w:rsidRPr="004A2300">
        <w:rPr>
          <w:rFonts w:ascii="Arial" w:hAnsi="Arial" w:cs="Arial"/>
          <w:color w:val="000000"/>
        </w:rPr>
        <w:br/>
        <w:t>Triodos investeert vooral in ondernemingen en initiatieven die bijdragen aan de energietransitie, biologische landbouw en sociale inclusie. Een belangrijk pluspunt is dat Triodos volledig transparant is over de bedrijven waarin ze investeren: op hun website kan iedereen precies zien waar hun geld naartoe gaat. Ze gebruiken de EU-taxonomie om te meten in hoeverre investeringen daadwerkelijk duurzaam zijn, wat de betrouwbaarheid van hun duurzaamheidsclaims vergroot.</w:t>
      </w:r>
    </w:p>
    <w:p w14:paraId="1ECF6757" w14:textId="77777777" w:rsidR="00161DE2" w:rsidRPr="004A2300" w:rsidRDefault="00161DE2" w:rsidP="00161DE2">
      <w:pPr>
        <w:pStyle w:val="Lijstalinea"/>
        <w:spacing w:before="100" w:beforeAutospacing="1" w:after="100" w:afterAutospacing="1"/>
        <w:rPr>
          <w:rFonts w:ascii="Arial" w:hAnsi="Arial" w:cs="Arial"/>
          <w:color w:val="000000"/>
        </w:rPr>
      </w:pPr>
    </w:p>
    <w:p w14:paraId="15BC3E90" w14:textId="77777777" w:rsidR="00161DE2" w:rsidRPr="004A2300" w:rsidRDefault="00161DE2" w:rsidP="00161DE2">
      <w:pPr>
        <w:pStyle w:val="Lijstalinea"/>
        <w:spacing w:before="100" w:beforeAutospacing="1" w:after="100" w:afterAutospacing="1"/>
        <w:rPr>
          <w:rFonts w:ascii="Arial" w:hAnsi="Arial" w:cs="Arial"/>
          <w:color w:val="000000"/>
        </w:rPr>
      </w:pPr>
      <w:proofErr w:type="spellStart"/>
      <w:r w:rsidRPr="004A2300">
        <w:rPr>
          <w:rFonts w:ascii="Arial" w:hAnsi="Arial" w:cs="Arial"/>
          <w:b/>
          <w:bCs/>
          <w:color w:val="000000"/>
        </w:rPr>
        <w:t>Governance</w:t>
      </w:r>
      <w:proofErr w:type="spellEnd"/>
    </w:p>
    <w:p w14:paraId="71B8D880" w14:textId="77777777" w:rsidR="00161DE2" w:rsidRPr="004A2300" w:rsidRDefault="00161DE2" w:rsidP="00161DE2">
      <w:pPr>
        <w:pStyle w:val="Lijstalinea"/>
        <w:spacing w:before="100" w:beforeAutospacing="1" w:after="100" w:afterAutospacing="1"/>
        <w:rPr>
          <w:rFonts w:ascii="Arial" w:hAnsi="Arial" w:cs="Arial"/>
          <w:color w:val="000000"/>
        </w:rPr>
      </w:pPr>
      <w:r w:rsidRPr="004A2300">
        <w:rPr>
          <w:rFonts w:ascii="Arial" w:hAnsi="Arial" w:cs="Arial"/>
          <w:color w:val="000000"/>
        </w:rPr>
        <w:t xml:space="preserve">Triodos kent een open bestuurscultuur waarin medewerkers inspraak hebben en beslissingen breed worden besproken. De organisatie hanteert strikte ethische richtlijnen en koppelt beloningen aan </w:t>
      </w:r>
      <w:proofErr w:type="spellStart"/>
      <w:r w:rsidRPr="004A2300">
        <w:rPr>
          <w:rFonts w:ascii="Arial" w:hAnsi="Arial" w:cs="Arial"/>
          <w:color w:val="000000"/>
        </w:rPr>
        <w:t>langetermijndoelen</w:t>
      </w:r>
      <w:proofErr w:type="spellEnd"/>
      <w:r w:rsidRPr="004A2300">
        <w:rPr>
          <w:rFonts w:ascii="Arial" w:hAnsi="Arial" w:cs="Arial"/>
          <w:color w:val="000000"/>
        </w:rPr>
        <w:t>. Toch heeft Triodos te maken gehad met bestuurlijke uitdagingen. In 2022 ontstond er een probleem met de verhandelbaarheid van certificaten van aandelen van de Triodos Groep, waardoor sommige beleggers tijdelijk hun geld niet konden opnemen. Hoewel dit de bank als geheel betrof en niet specifiek de investmenttak, had het wel invloed op de betrouwbaarheid van de organisatie in de ogen van beleggers.</w:t>
      </w:r>
    </w:p>
    <w:p w14:paraId="5B569D8F" w14:textId="77777777" w:rsidR="00161DE2" w:rsidRPr="004A2300" w:rsidRDefault="00161DE2" w:rsidP="00161DE2">
      <w:pPr>
        <w:pStyle w:val="Lijstalinea"/>
        <w:spacing w:before="100" w:beforeAutospacing="1" w:after="100" w:afterAutospacing="1"/>
        <w:outlineLvl w:val="2"/>
        <w:rPr>
          <w:rFonts w:ascii="Arial" w:hAnsi="Arial" w:cs="Arial"/>
          <w:b/>
          <w:bCs/>
          <w:color w:val="000000"/>
        </w:rPr>
      </w:pPr>
    </w:p>
    <w:p w14:paraId="24E768EB" w14:textId="77777777" w:rsidR="00161DE2" w:rsidRPr="004A2300" w:rsidRDefault="00161DE2" w:rsidP="00161DE2">
      <w:pPr>
        <w:pStyle w:val="Lijstalinea"/>
        <w:spacing w:before="100" w:beforeAutospacing="1" w:after="100" w:afterAutospacing="1"/>
        <w:outlineLvl w:val="2"/>
        <w:rPr>
          <w:rFonts w:ascii="Arial" w:hAnsi="Arial" w:cs="Arial"/>
          <w:b/>
          <w:bCs/>
          <w:color w:val="000000"/>
        </w:rPr>
      </w:pPr>
      <w:r w:rsidRPr="004A2300">
        <w:rPr>
          <w:rFonts w:ascii="Arial" w:hAnsi="Arial" w:cs="Arial"/>
          <w:b/>
          <w:bCs/>
          <w:color w:val="000000"/>
        </w:rPr>
        <w:t>Bad Press</w:t>
      </w:r>
    </w:p>
    <w:p w14:paraId="5CB0BD69" w14:textId="77777777" w:rsidR="00161DE2" w:rsidRPr="004A2300" w:rsidRDefault="00161DE2" w:rsidP="00161DE2">
      <w:pPr>
        <w:pStyle w:val="Lijstalinea"/>
        <w:spacing w:before="100" w:beforeAutospacing="1" w:after="100" w:afterAutospacing="1"/>
        <w:rPr>
          <w:rFonts w:ascii="Arial" w:hAnsi="Arial" w:cs="Arial"/>
          <w:color w:val="000000"/>
        </w:rPr>
      </w:pPr>
      <w:r w:rsidRPr="004A2300">
        <w:rPr>
          <w:rFonts w:ascii="Arial" w:hAnsi="Arial" w:cs="Arial"/>
          <w:color w:val="000000"/>
        </w:rPr>
        <w:t xml:space="preserve">De reputatie van Triodos is over het algemeen sterk, maar de situatie rond de certificaten zorgde in 2022 voor negatieve media-aandacht. Triodos heeft daarna transparanter gecommuniceerd en maatregelen genomen om het vertrouwen te herstellen, zoals het opzetten van een nieuw handelsplatform </w:t>
      </w:r>
      <w:r w:rsidRPr="004A2300">
        <w:rPr>
          <w:rFonts w:ascii="Arial" w:hAnsi="Arial" w:cs="Arial"/>
          <w:color w:val="000000"/>
        </w:rPr>
        <w:lastRenderedPageBreak/>
        <w:t>voor certificaathouders. Hoewel het incident een tijdelijke deuk gaf, wordt Triodos nog steeds gezien als een pionier in duurzame financiering en blijft hun maatschappelijke impact groot.</w:t>
      </w:r>
    </w:p>
    <w:p w14:paraId="035F4E46" w14:textId="77777777" w:rsidR="00161DE2" w:rsidRPr="0068750A" w:rsidRDefault="00161DE2" w:rsidP="00161DE2">
      <w:pPr>
        <w:rPr>
          <w:rFonts w:ascii="Arial" w:hAnsi="Arial" w:cs="Arial"/>
        </w:rPr>
      </w:pPr>
    </w:p>
    <w:p w14:paraId="7A4A80D5" w14:textId="77777777" w:rsidR="00161DE2" w:rsidRPr="00783DAA" w:rsidRDefault="00161DE2" w:rsidP="00161DE2">
      <w:pPr>
        <w:pStyle w:val="Lijstalinea"/>
        <w:numPr>
          <w:ilvl w:val="0"/>
          <w:numId w:val="9"/>
        </w:numPr>
        <w:spacing w:before="100" w:beforeAutospacing="1" w:after="100" w:afterAutospacing="1" w:line="240" w:lineRule="auto"/>
        <w:outlineLvl w:val="1"/>
        <w:rPr>
          <w:rFonts w:ascii="Arial" w:hAnsi="Arial" w:cs="Arial"/>
          <w:b/>
          <w:bCs/>
          <w:color w:val="000000"/>
          <w:sz w:val="36"/>
          <w:szCs w:val="36"/>
        </w:rPr>
      </w:pPr>
      <w:r w:rsidRPr="00783DAA">
        <w:rPr>
          <w:rFonts w:ascii="Arial" w:hAnsi="Arial" w:cs="Arial"/>
          <w:b/>
          <w:bCs/>
          <w:color w:val="000000"/>
          <w:sz w:val="36"/>
          <w:szCs w:val="36"/>
        </w:rPr>
        <w:t>DWS Group</w:t>
      </w:r>
    </w:p>
    <w:p w14:paraId="173D6E6E" w14:textId="77777777" w:rsidR="00161DE2" w:rsidRDefault="00161DE2" w:rsidP="00161DE2">
      <w:pPr>
        <w:pStyle w:val="Lijstalinea"/>
        <w:spacing w:before="100" w:beforeAutospacing="1" w:after="100" w:afterAutospacing="1"/>
        <w:outlineLvl w:val="2"/>
        <w:rPr>
          <w:b/>
          <w:bCs/>
          <w:color w:val="000000"/>
          <w:sz w:val="27"/>
          <w:szCs w:val="27"/>
        </w:rPr>
      </w:pPr>
    </w:p>
    <w:p w14:paraId="2AC23FF7" w14:textId="77777777" w:rsidR="00161DE2" w:rsidRPr="002F3548" w:rsidRDefault="00161DE2" w:rsidP="00161DE2">
      <w:pPr>
        <w:pStyle w:val="Lijstalinea"/>
        <w:spacing w:before="100" w:beforeAutospacing="1" w:after="100" w:afterAutospacing="1"/>
        <w:outlineLvl w:val="2"/>
        <w:rPr>
          <w:rFonts w:ascii="Arial" w:hAnsi="Arial" w:cs="Arial"/>
          <w:b/>
          <w:bCs/>
          <w:color w:val="000000"/>
        </w:rPr>
      </w:pPr>
      <w:r w:rsidRPr="002F3548">
        <w:rPr>
          <w:rFonts w:ascii="Arial" w:hAnsi="Arial" w:cs="Arial"/>
          <w:b/>
          <w:bCs/>
          <w:color w:val="000000"/>
        </w:rPr>
        <w:t>Duurzaamheidsbeleid</w:t>
      </w:r>
    </w:p>
    <w:p w14:paraId="791C9D93" w14:textId="77777777" w:rsidR="00161DE2" w:rsidRPr="002F3548" w:rsidRDefault="00161DE2" w:rsidP="00161DE2">
      <w:pPr>
        <w:pStyle w:val="Lijstalinea"/>
        <w:spacing w:before="100" w:beforeAutospacing="1" w:after="100" w:afterAutospacing="1"/>
        <w:rPr>
          <w:rFonts w:ascii="Arial" w:hAnsi="Arial" w:cs="Arial"/>
          <w:color w:val="000000"/>
        </w:rPr>
      </w:pPr>
      <w:r w:rsidRPr="002F3548">
        <w:rPr>
          <w:rFonts w:ascii="Arial" w:hAnsi="Arial" w:cs="Arial"/>
          <w:color w:val="000000"/>
        </w:rPr>
        <w:t xml:space="preserve">DWS Group, onderdeel van Deutsche Bank, beheert meer dan 800 miljard euro en profileert zich als een speler met aandacht voor duurzaamheid. Toch is hun geloofwaardigheid de laatste jaren aangetast. In eerdere jaren claimde DWS dat een groot deel van hun portefeuille aan ESG-normen voldeed, maar uit onderzoek bleek dat deze cijfers overdreven waren. Sindsdien heeft DWS zijn beleid aangescherpt: ze hebben een Chief </w:t>
      </w:r>
      <w:proofErr w:type="spellStart"/>
      <w:r w:rsidRPr="002F3548">
        <w:rPr>
          <w:rFonts w:ascii="Arial" w:hAnsi="Arial" w:cs="Arial"/>
          <w:color w:val="000000"/>
        </w:rPr>
        <w:t>Sustainability</w:t>
      </w:r>
      <w:proofErr w:type="spellEnd"/>
      <w:r w:rsidRPr="002F3548">
        <w:rPr>
          <w:rFonts w:ascii="Arial" w:hAnsi="Arial" w:cs="Arial"/>
          <w:color w:val="000000"/>
        </w:rPr>
        <w:t xml:space="preserve"> </w:t>
      </w:r>
      <w:proofErr w:type="spellStart"/>
      <w:r w:rsidRPr="002F3548">
        <w:rPr>
          <w:rFonts w:ascii="Arial" w:hAnsi="Arial" w:cs="Arial"/>
          <w:color w:val="000000"/>
        </w:rPr>
        <w:t>Officer</w:t>
      </w:r>
      <w:proofErr w:type="spellEnd"/>
      <w:r w:rsidRPr="002F3548">
        <w:rPr>
          <w:rFonts w:ascii="Arial" w:hAnsi="Arial" w:cs="Arial"/>
          <w:color w:val="000000"/>
        </w:rPr>
        <w:t xml:space="preserve"> aangesteld en extra toezicht geïntroduceerd (DWS, 2024).</w:t>
      </w:r>
      <w:r w:rsidRPr="002F3548">
        <w:rPr>
          <w:rFonts w:ascii="Arial" w:hAnsi="Arial" w:cs="Arial"/>
          <w:color w:val="000000"/>
        </w:rPr>
        <w:br/>
        <w:t>Hoewel deze stappen positief zijn, wordt hun beleid nog vaak gezien als “reactief” in plaats van “proactief”. De focus lijkt vooral te liggen op het herstellen van vertrouwen, niet op het realiseren van echte duurzame impact.</w:t>
      </w:r>
    </w:p>
    <w:p w14:paraId="59D60F1B" w14:textId="77777777" w:rsidR="00161DE2" w:rsidRPr="002F3548" w:rsidRDefault="00161DE2" w:rsidP="00161DE2">
      <w:pPr>
        <w:pStyle w:val="Lijstalinea"/>
        <w:spacing w:before="100" w:beforeAutospacing="1" w:after="100" w:afterAutospacing="1"/>
        <w:outlineLvl w:val="2"/>
        <w:rPr>
          <w:rFonts w:ascii="Arial" w:hAnsi="Arial" w:cs="Arial"/>
          <w:b/>
          <w:bCs/>
          <w:color w:val="000000"/>
        </w:rPr>
      </w:pPr>
    </w:p>
    <w:p w14:paraId="040E5EA5" w14:textId="77777777" w:rsidR="00161DE2" w:rsidRPr="002F3548" w:rsidRDefault="00161DE2" w:rsidP="00161DE2">
      <w:pPr>
        <w:pStyle w:val="Lijstalinea"/>
        <w:spacing w:before="100" w:beforeAutospacing="1" w:after="100" w:afterAutospacing="1"/>
        <w:outlineLvl w:val="2"/>
        <w:rPr>
          <w:rFonts w:ascii="Arial" w:hAnsi="Arial" w:cs="Arial"/>
          <w:b/>
          <w:bCs/>
          <w:color w:val="000000"/>
        </w:rPr>
      </w:pPr>
      <w:proofErr w:type="spellStart"/>
      <w:r w:rsidRPr="002F3548">
        <w:rPr>
          <w:rFonts w:ascii="Arial" w:hAnsi="Arial" w:cs="Arial"/>
          <w:b/>
          <w:bCs/>
          <w:color w:val="000000"/>
        </w:rPr>
        <w:t>Governance</w:t>
      </w:r>
      <w:proofErr w:type="spellEnd"/>
    </w:p>
    <w:p w14:paraId="36519FA2" w14:textId="77777777" w:rsidR="00161DE2" w:rsidRPr="002F3548" w:rsidRDefault="00161DE2" w:rsidP="00161DE2">
      <w:pPr>
        <w:pStyle w:val="Lijstalinea"/>
        <w:spacing w:before="100" w:beforeAutospacing="1" w:after="100" w:afterAutospacing="1"/>
        <w:rPr>
          <w:rFonts w:ascii="Arial" w:hAnsi="Arial" w:cs="Arial"/>
          <w:color w:val="000000"/>
        </w:rPr>
      </w:pPr>
      <w:r w:rsidRPr="002F3548">
        <w:rPr>
          <w:rFonts w:ascii="Arial" w:hAnsi="Arial" w:cs="Arial"/>
          <w:color w:val="000000"/>
        </w:rPr>
        <w:t xml:space="preserve">Na de greenwashing-schandalen heeft DWS geprobeerd hun bestuur te hervormen. Er is een onafhankelijke duurzaamheidscommissie opgericht en rapportages worden nu gecontroleerd door externe auditors. Toch blijft het bedrijf sterk afhankelijk van Deutsche Bank, wat hun onafhankelijkheid beperkt. De bestuursstructuur is complex en de communicatie naar klanten is vaak zakelijk en afstandelijk, waardoor transparantie beperkt blijft. Hoewel de intentie om te verbeteren duidelijk aanwezig is, moet DWS nog bewijzen dat hun </w:t>
      </w:r>
      <w:proofErr w:type="spellStart"/>
      <w:r w:rsidRPr="002F3548">
        <w:rPr>
          <w:rFonts w:ascii="Arial" w:hAnsi="Arial" w:cs="Arial"/>
          <w:color w:val="000000"/>
        </w:rPr>
        <w:t>governance</w:t>
      </w:r>
      <w:proofErr w:type="spellEnd"/>
      <w:r w:rsidRPr="002F3548">
        <w:rPr>
          <w:rFonts w:ascii="Arial" w:hAnsi="Arial" w:cs="Arial"/>
          <w:color w:val="000000"/>
        </w:rPr>
        <w:t xml:space="preserve"> daadwerkelijk duurzaam is ingericht.</w:t>
      </w:r>
    </w:p>
    <w:p w14:paraId="7465CC76" w14:textId="77777777" w:rsidR="00161DE2" w:rsidRDefault="00161DE2" w:rsidP="00161DE2">
      <w:pPr>
        <w:pStyle w:val="Lijstalinea"/>
        <w:spacing w:before="100" w:beforeAutospacing="1" w:after="100" w:afterAutospacing="1"/>
        <w:outlineLvl w:val="2"/>
        <w:rPr>
          <w:rFonts w:ascii="Arial" w:hAnsi="Arial" w:cs="Arial"/>
          <w:b/>
          <w:bCs/>
          <w:color w:val="000000"/>
        </w:rPr>
      </w:pPr>
    </w:p>
    <w:p w14:paraId="0061B711" w14:textId="77777777" w:rsidR="00161DE2" w:rsidRPr="002F3548" w:rsidRDefault="00161DE2" w:rsidP="00161DE2">
      <w:pPr>
        <w:pStyle w:val="Lijstalinea"/>
        <w:spacing w:before="100" w:beforeAutospacing="1" w:after="100" w:afterAutospacing="1"/>
        <w:outlineLvl w:val="2"/>
        <w:rPr>
          <w:rFonts w:ascii="Arial" w:hAnsi="Arial" w:cs="Arial"/>
          <w:b/>
          <w:bCs/>
          <w:color w:val="000000"/>
        </w:rPr>
      </w:pPr>
      <w:r w:rsidRPr="002F3548">
        <w:rPr>
          <w:rFonts w:ascii="Arial" w:hAnsi="Arial" w:cs="Arial"/>
          <w:b/>
          <w:bCs/>
          <w:color w:val="000000"/>
        </w:rPr>
        <w:t>Bad Press</w:t>
      </w:r>
      <w:r w:rsidRPr="002F3548">
        <w:rPr>
          <w:rFonts w:ascii="Arial" w:hAnsi="Arial" w:cs="Arial"/>
          <w:b/>
          <w:bCs/>
          <w:color w:val="000000"/>
        </w:rPr>
        <w:br/>
      </w:r>
      <w:r w:rsidRPr="002F3548">
        <w:rPr>
          <w:rFonts w:ascii="Arial" w:hAnsi="Arial" w:cs="Arial"/>
          <w:color w:val="000000"/>
        </w:rPr>
        <w:t>DWS kreeg in 2023 en 2025 forse boetes van respectievelijk de Amerikaanse SEC en Duitse toezichthouders wegens greenwashing — het doen van misleidende duurzaamheidsclaims (Reuters, 2025). Deze boetes hebben de reputatie zwaar beschadigd en veel beleggers deden hun investeringen van de hand. Het bedrijf heeft hierna verschillende herstelmaatregelen aangekondigd, zoals een herzien ESG-raamwerk en meer interne controle, maar het vertrouwen van de markt is nog niet volledig terug. DWS wordt hierdoor gezien als een partij die op papier stappen zet, maar in de praktijk nog niet geloofwaardig genoeg is.</w:t>
      </w:r>
    </w:p>
    <w:p w14:paraId="3FB8C5BE" w14:textId="77777777" w:rsidR="00161DE2" w:rsidRDefault="00161DE2" w:rsidP="00161DE2">
      <w:pPr>
        <w:spacing w:before="100" w:beforeAutospacing="1" w:after="100" w:afterAutospacing="1"/>
        <w:outlineLvl w:val="1"/>
        <w:rPr>
          <w:rFonts w:ascii="Arial" w:hAnsi="Arial" w:cs="Arial"/>
        </w:rPr>
      </w:pPr>
    </w:p>
    <w:p w14:paraId="2E86D734" w14:textId="77777777" w:rsidR="00161DE2" w:rsidRPr="001B2FA2" w:rsidRDefault="00161DE2" w:rsidP="00161DE2">
      <w:pPr>
        <w:spacing w:before="100" w:beforeAutospacing="1" w:after="100" w:afterAutospacing="1"/>
        <w:outlineLvl w:val="1"/>
        <w:rPr>
          <w:rFonts w:ascii="Arial" w:hAnsi="Arial" w:cs="Arial"/>
          <w:b/>
          <w:bCs/>
          <w:color w:val="000000"/>
          <w:sz w:val="40"/>
          <w:szCs w:val="40"/>
        </w:rPr>
      </w:pPr>
      <w:r w:rsidRPr="0068750A">
        <w:rPr>
          <w:rFonts w:ascii="Arial" w:hAnsi="Arial" w:cs="Arial"/>
          <w:b/>
          <w:bCs/>
          <w:color w:val="000000"/>
          <w:sz w:val="40"/>
          <w:szCs w:val="40"/>
        </w:rPr>
        <w:lastRenderedPageBreak/>
        <w:t>Vergelijking van de vier partijen</w:t>
      </w:r>
      <w:r w:rsidRPr="001A6EC9">
        <w:rPr>
          <w:rFonts w:ascii="Arial" w:hAnsi="Arial" w:cs="Arial"/>
          <w:b/>
          <w:bCs/>
          <w:color w:val="000000"/>
          <w:sz w:val="40"/>
          <w:szCs w:val="40"/>
        </w:rPr>
        <w:t xml:space="preserve"> (Beslissingsmatrix)</w:t>
      </w:r>
    </w:p>
    <w:tbl>
      <w:tblPr>
        <w:tblStyle w:val="Tabelraster"/>
        <w:tblW w:w="0" w:type="auto"/>
        <w:tblLook w:val="04A0" w:firstRow="1" w:lastRow="0" w:firstColumn="1" w:lastColumn="0" w:noHBand="0" w:noVBand="1"/>
      </w:tblPr>
      <w:tblGrid>
        <w:gridCol w:w="2617"/>
        <w:gridCol w:w="2480"/>
        <w:gridCol w:w="1569"/>
        <w:gridCol w:w="1102"/>
        <w:gridCol w:w="1294"/>
      </w:tblGrid>
      <w:tr w:rsidR="00161DE2" w:rsidRPr="001B2FA2" w14:paraId="483996A7" w14:textId="77777777" w:rsidTr="00233105">
        <w:tc>
          <w:tcPr>
            <w:tcW w:w="0" w:type="auto"/>
            <w:hideMark/>
          </w:tcPr>
          <w:p w14:paraId="05FAAB34" w14:textId="77777777" w:rsidR="00161DE2" w:rsidRPr="001B2FA2" w:rsidRDefault="00161DE2" w:rsidP="00233105">
            <w:pPr>
              <w:jc w:val="center"/>
              <w:rPr>
                <w:rFonts w:ascii="Arial" w:hAnsi="Arial" w:cs="Arial"/>
                <w:b/>
                <w:bCs/>
                <w:sz w:val="20"/>
                <w:szCs w:val="20"/>
              </w:rPr>
            </w:pPr>
            <w:r w:rsidRPr="001B2FA2">
              <w:rPr>
                <w:rFonts w:ascii="Arial" w:hAnsi="Arial" w:cs="Arial"/>
                <w:b/>
                <w:bCs/>
                <w:sz w:val="20"/>
                <w:szCs w:val="20"/>
              </w:rPr>
              <w:t>Vermogensbeheerder</w:t>
            </w:r>
          </w:p>
        </w:tc>
        <w:tc>
          <w:tcPr>
            <w:tcW w:w="0" w:type="auto"/>
            <w:hideMark/>
          </w:tcPr>
          <w:p w14:paraId="7C869E0A" w14:textId="77777777" w:rsidR="00161DE2" w:rsidRPr="001B2FA2" w:rsidRDefault="00161DE2" w:rsidP="00233105">
            <w:pPr>
              <w:jc w:val="center"/>
              <w:rPr>
                <w:rFonts w:ascii="Arial" w:hAnsi="Arial" w:cs="Arial"/>
                <w:b/>
                <w:bCs/>
                <w:sz w:val="20"/>
                <w:szCs w:val="20"/>
              </w:rPr>
            </w:pPr>
            <w:r w:rsidRPr="001B2FA2">
              <w:rPr>
                <w:rFonts w:ascii="Arial" w:hAnsi="Arial" w:cs="Arial"/>
                <w:b/>
                <w:bCs/>
                <w:sz w:val="20"/>
                <w:szCs w:val="20"/>
              </w:rPr>
              <w:t>Duurzaamheidsbeleid (40%)</w:t>
            </w:r>
          </w:p>
        </w:tc>
        <w:tc>
          <w:tcPr>
            <w:tcW w:w="0" w:type="auto"/>
            <w:hideMark/>
          </w:tcPr>
          <w:p w14:paraId="5369CFA8" w14:textId="77777777" w:rsidR="00161DE2" w:rsidRPr="001B2FA2" w:rsidRDefault="00161DE2" w:rsidP="00233105">
            <w:pPr>
              <w:jc w:val="center"/>
              <w:rPr>
                <w:rFonts w:ascii="Arial" w:hAnsi="Arial" w:cs="Arial"/>
                <w:b/>
                <w:bCs/>
                <w:sz w:val="20"/>
                <w:szCs w:val="20"/>
              </w:rPr>
            </w:pPr>
            <w:proofErr w:type="spellStart"/>
            <w:r w:rsidRPr="001B2FA2">
              <w:rPr>
                <w:rFonts w:ascii="Arial" w:hAnsi="Arial" w:cs="Arial"/>
                <w:b/>
                <w:bCs/>
                <w:sz w:val="20"/>
                <w:szCs w:val="20"/>
              </w:rPr>
              <w:t>Governance</w:t>
            </w:r>
            <w:proofErr w:type="spellEnd"/>
            <w:r w:rsidRPr="001B2FA2">
              <w:rPr>
                <w:rFonts w:ascii="Arial" w:hAnsi="Arial" w:cs="Arial"/>
                <w:b/>
                <w:bCs/>
                <w:sz w:val="20"/>
                <w:szCs w:val="20"/>
              </w:rPr>
              <w:t xml:space="preserve"> (40%)</w:t>
            </w:r>
          </w:p>
        </w:tc>
        <w:tc>
          <w:tcPr>
            <w:tcW w:w="0" w:type="auto"/>
            <w:hideMark/>
          </w:tcPr>
          <w:p w14:paraId="1D503AC6" w14:textId="77777777" w:rsidR="00161DE2" w:rsidRPr="001B2FA2" w:rsidRDefault="00161DE2" w:rsidP="00233105">
            <w:pPr>
              <w:jc w:val="center"/>
              <w:rPr>
                <w:rFonts w:ascii="Arial" w:hAnsi="Arial" w:cs="Arial"/>
                <w:b/>
                <w:bCs/>
                <w:sz w:val="20"/>
                <w:szCs w:val="20"/>
              </w:rPr>
            </w:pPr>
            <w:r w:rsidRPr="001B2FA2">
              <w:rPr>
                <w:rFonts w:ascii="Arial" w:hAnsi="Arial" w:cs="Arial"/>
                <w:b/>
                <w:bCs/>
                <w:sz w:val="20"/>
                <w:szCs w:val="20"/>
              </w:rPr>
              <w:t>Bad Press (20%)</w:t>
            </w:r>
          </w:p>
        </w:tc>
        <w:tc>
          <w:tcPr>
            <w:tcW w:w="0" w:type="auto"/>
            <w:hideMark/>
          </w:tcPr>
          <w:p w14:paraId="29EB7022" w14:textId="77777777" w:rsidR="00161DE2" w:rsidRPr="001B2FA2" w:rsidRDefault="00161DE2" w:rsidP="00233105">
            <w:pPr>
              <w:jc w:val="center"/>
              <w:rPr>
                <w:rFonts w:ascii="Arial" w:hAnsi="Arial" w:cs="Arial"/>
                <w:b/>
                <w:bCs/>
                <w:sz w:val="20"/>
                <w:szCs w:val="20"/>
              </w:rPr>
            </w:pPr>
            <w:r w:rsidRPr="001B2FA2">
              <w:rPr>
                <w:rFonts w:ascii="Arial" w:hAnsi="Arial" w:cs="Arial"/>
                <w:b/>
                <w:bCs/>
                <w:sz w:val="20"/>
                <w:szCs w:val="20"/>
              </w:rPr>
              <w:t>Eindscore /10</w:t>
            </w:r>
          </w:p>
        </w:tc>
      </w:tr>
      <w:tr w:rsidR="00161DE2" w:rsidRPr="001B2FA2" w14:paraId="5235173E" w14:textId="77777777" w:rsidTr="00233105">
        <w:tc>
          <w:tcPr>
            <w:tcW w:w="0" w:type="auto"/>
            <w:hideMark/>
          </w:tcPr>
          <w:p w14:paraId="64555763" w14:textId="77777777" w:rsidR="00161DE2" w:rsidRPr="001B2FA2" w:rsidRDefault="00161DE2" w:rsidP="00233105">
            <w:pPr>
              <w:rPr>
                <w:rFonts w:ascii="Arial" w:hAnsi="Arial" w:cs="Arial"/>
                <w:sz w:val="20"/>
                <w:szCs w:val="20"/>
              </w:rPr>
            </w:pPr>
            <w:r w:rsidRPr="001B2FA2">
              <w:rPr>
                <w:rFonts w:ascii="Arial" w:hAnsi="Arial" w:cs="Arial"/>
                <w:b/>
                <w:bCs/>
                <w:sz w:val="20"/>
                <w:szCs w:val="20"/>
              </w:rPr>
              <w:t xml:space="preserve">ASN Impact </w:t>
            </w:r>
            <w:proofErr w:type="spellStart"/>
            <w:r w:rsidRPr="001B2FA2">
              <w:rPr>
                <w:rFonts w:ascii="Arial" w:hAnsi="Arial" w:cs="Arial"/>
                <w:b/>
                <w:bCs/>
                <w:sz w:val="20"/>
                <w:szCs w:val="20"/>
              </w:rPr>
              <w:t>Investors</w:t>
            </w:r>
            <w:proofErr w:type="spellEnd"/>
          </w:p>
        </w:tc>
        <w:tc>
          <w:tcPr>
            <w:tcW w:w="0" w:type="auto"/>
            <w:hideMark/>
          </w:tcPr>
          <w:p w14:paraId="39065F2F" w14:textId="77777777" w:rsidR="00161DE2" w:rsidRPr="001B2FA2" w:rsidRDefault="00161DE2" w:rsidP="00233105">
            <w:pPr>
              <w:rPr>
                <w:rFonts w:ascii="Arial" w:hAnsi="Arial" w:cs="Arial"/>
                <w:sz w:val="20"/>
                <w:szCs w:val="20"/>
              </w:rPr>
            </w:pPr>
            <w:r w:rsidRPr="001B2FA2">
              <w:rPr>
                <w:rFonts w:ascii="Arial" w:hAnsi="Arial" w:cs="Arial"/>
                <w:sz w:val="20"/>
                <w:szCs w:val="20"/>
              </w:rPr>
              <w:t>9,5</w:t>
            </w:r>
          </w:p>
        </w:tc>
        <w:tc>
          <w:tcPr>
            <w:tcW w:w="0" w:type="auto"/>
            <w:hideMark/>
          </w:tcPr>
          <w:p w14:paraId="447E6F55" w14:textId="77777777" w:rsidR="00161DE2" w:rsidRPr="001B2FA2" w:rsidRDefault="00161DE2" w:rsidP="00233105">
            <w:pPr>
              <w:rPr>
                <w:rFonts w:ascii="Arial" w:hAnsi="Arial" w:cs="Arial"/>
                <w:sz w:val="20"/>
                <w:szCs w:val="20"/>
              </w:rPr>
            </w:pPr>
            <w:r w:rsidRPr="001B2FA2">
              <w:rPr>
                <w:rFonts w:ascii="Arial" w:hAnsi="Arial" w:cs="Arial"/>
                <w:sz w:val="20"/>
                <w:szCs w:val="20"/>
              </w:rPr>
              <w:t>8,5</w:t>
            </w:r>
          </w:p>
        </w:tc>
        <w:tc>
          <w:tcPr>
            <w:tcW w:w="0" w:type="auto"/>
            <w:hideMark/>
          </w:tcPr>
          <w:p w14:paraId="4181E0E0" w14:textId="77777777" w:rsidR="00161DE2" w:rsidRPr="001B2FA2" w:rsidRDefault="00161DE2" w:rsidP="00233105">
            <w:pPr>
              <w:rPr>
                <w:rFonts w:ascii="Arial" w:hAnsi="Arial" w:cs="Arial"/>
                <w:sz w:val="20"/>
                <w:szCs w:val="20"/>
              </w:rPr>
            </w:pPr>
            <w:r w:rsidRPr="001B2FA2">
              <w:rPr>
                <w:rFonts w:ascii="Arial" w:hAnsi="Arial" w:cs="Arial"/>
                <w:sz w:val="20"/>
                <w:szCs w:val="20"/>
              </w:rPr>
              <w:t>9,5</w:t>
            </w:r>
          </w:p>
        </w:tc>
        <w:tc>
          <w:tcPr>
            <w:tcW w:w="0" w:type="auto"/>
            <w:hideMark/>
          </w:tcPr>
          <w:p w14:paraId="2E9CD8C7" w14:textId="77777777" w:rsidR="00161DE2" w:rsidRPr="001B2FA2" w:rsidRDefault="00161DE2" w:rsidP="00233105">
            <w:pPr>
              <w:rPr>
                <w:rFonts w:ascii="Arial" w:hAnsi="Arial" w:cs="Arial"/>
                <w:sz w:val="20"/>
                <w:szCs w:val="20"/>
              </w:rPr>
            </w:pPr>
            <w:r w:rsidRPr="001B2FA2">
              <w:rPr>
                <w:rFonts w:ascii="Arial" w:hAnsi="Arial" w:cs="Arial"/>
                <w:b/>
                <w:bCs/>
                <w:sz w:val="20"/>
                <w:szCs w:val="20"/>
              </w:rPr>
              <w:t>9,1</w:t>
            </w:r>
          </w:p>
        </w:tc>
      </w:tr>
      <w:tr w:rsidR="00161DE2" w:rsidRPr="001B2FA2" w14:paraId="0C181527" w14:textId="77777777" w:rsidTr="00233105">
        <w:tc>
          <w:tcPr>
            <w:tcW w:w="0" w:type="auto"/>
            <w:hideMark/>
          </w:tcPr>
          <w:p w14:paraId="59C99444" w14:textId="77777777" w:rsidR="00161DE2" w:rsidRPr="001B2FA2" w:rsidRDefault="00161DE2" w:rsidP="00233105">
            <w:pPr>
              <w:rPr>
                <w:rFonts w:ascii="Arial" w:hAnsi="Arial" w:cs="Arial"/>
                <w:sz w:val="20"/>
                <w:szCs w:val="20"/>
              </w:rPr>
            </w:pPr>
            <w:r w:rsidRPr="001B2FA2">
              <w:rPr>
                <w:rFonts w:ascii="Arial" w:hAnsi="Arial" w:cs="Arial"/>
                <w:b/>
                <w:bCs/>
                <w:sz w:val="20"/>
                <w:szCs w:val="20"/>
              </w:rPr>
              <w:t>Triodos Investment Management</w:t>
            </w:r>
          </w:p>
        </w:tc>
        <w:tc>
          <w:tcPr>
            <w:tcW w:w="0" w:type="auto"/>
            <w:hideMark/>
          </w:tcPr>
          <w:p w14:paraId="2549E061" w14:textId="77777777" w:rsidR="00161DE2" w:rsidRPr="001B2FA2" w:rsidRDefault="00161DE2" w:rsidP="00233105">
            <w:pPr>
              <w:rPr>
                <w:rFonts w:ascii="Arial" w:hAnsi="Arial" w:cs="Arial"/>
                <w:sz w:val="20"/>
                <w:szCs w:val="20"/>
              </w:rPr>
            </w:pPr>
            <w:r w:rsidRPr="001B2FA2">
              <w:rPr>
                <w:rFonts w:ascii="Arial" w:hAnsi="Arial" w:cs="Arial"/>
                <w:sz w:val="20"/>
                <w:szCs w:val="20"/>
              </w:rPr>
              <w:t>9,5</w:t>
            </w:r>
          </w:p>
        </w:tc>
        <w:tc>
          <w:tcPr>
            <w:tcW w:w="0" w:type="auto"/>
            <w:hideMark/>
          </w:tcPr>
          <w:p w14:paraId="1E319D64" w14:textId="77777777" w:rsidR="00161DE2" w:rsidRPr="001B2FA2" w:rsidRDefault="00161DE2" w:rsidP="00233105">
            <w:pPr>
              <w:rPr>
                <w:rFonts w:ascii="Arial" w:hAnsi="Arial" w:cs="Arial"/>
                <w:sz w:val="20"/>
                <w:szCs w:val="20"/>
              </w:rPr>
            </w:pPr>
            <w:r w:rsidRPr="001B2FA2">
              <w:rPr>
                <w:rFonts w:ascii="Arial" w:hAnsi="Arial" w:cs="Arial"/>
                <w:sz w:val="20"/>
                <w:szCs w:val="20"/>
              </w:rPr>
              <w:t>8,0</w:t>
            </w:r>
          </w:p>
        </w:tc>
        <w:tc>
          <w:tcPr>
            <w:tcW w:w="0" w:type="auto"/>
            <w:hideMark/>
          </w:tcPr>
          <w:p w14:paraId="706FC8FC" w14:textId="77777777" w:rsidR="00161DE2" w:rsidRPr="001B2FA2" w:rsidRDefault="00161DE2" w:rsidP="00233105">
            <w:pPr>
              <w:rPr>
                <w:rFonts w:ascii="Arial" w:hAnsi="Arial" w:cs="Arial"/>
                <w:sz w:val="20"/>
                <w:szCs w:val="20"/>
              </w:rPr>
            </w:pPr>
            <w:r w:rsidRPr="001B2FA2">
              <w:rPr>
                <w:rFonts w:ascii="Arial" w:hAnsi="Arial" w:cs="Arial"/>
                <w:sz w:val="20"/>
                <w:szCs w:val="20"/>
              </w:rPr>
              <w:t>8,0</w:t>
            </w:r>
          </w:p>
        </w:tc>
        <w:tc>
          <w:tcPr>
            <w:tcW w:w="0" w:type="auto"/>
            <w:hideMark/>
          </w:tcPr>
          <w:p w14:paraId="0B7E6C94" w14:textId="77777777" w:rsidR="00161DE2" w:rsidRPr="001B2FA2" w:rsidRDefault="00161DE2" w:rsidP="00233105">
            <w:pPr>
              <w:rPr>
                <w:rFonts w:ascii="Arial" w:hAnsi="Arial" w:cs="Arial"/>
                <w:sz w:val="20"/>
                <w:szCs w:val="20"/>
              </w:rPr>
            </w:pPr>
            <w:r w:rsidRPr="001B2FA2">
              <w:rPr>
                <w:rFonts w:ascii="Arial" w:hAnsi="Arial" w:cs="Arial"/>
                <w:b/>
                <w:bCs/>
                <w:sz w:val="20"/>
                <w:szCs w:val="20"/>
              </w:rPr>
              <w:t>8,6</w:t>
            </w:r>
          </w:p>
        </w:tc>
      </w:tr>
      <w:tr w:rsidR="00161DE2" w:rsidRPr="001B2FA2" w14:paraId="1E6532C5" w14:textId="77777777" w:rsidTr="00233105">
        <w:tc>
          <w:tcPr>
            <w:tcW w:w="0" w:type="auto"/>
            <w:hideMark/>
          </w:tcPr>
          <w:p w14:paraId="12F0332A" w14:textId="77777777" w:rsidR="00161DE2" w:rsidRPr="001B2FA2" w:rsidRDefault="00161DE2" w:rsidP="00233105">
            <w:pPr>
              <w:rPr>
                <w:rFonts w:ascii="Arial" w:hAnsi="Arial" w:cs="Arial"/>
                <w:sz w:val="20"/>
                <w:szCs w:val="20"/>
              </w:rPr>
            </w:pPr>
            <w:proofErr w:type="spellStart"/>
            <w:r w:rsidRPr="001B2FA2">
              <w:rPr>
                <w:rFonts w:ascii="Arial" w:hAnsi="Arial" w:cs="Arial"/>
                <w:b/>
                <w:bCs/>
                <w:sz w:val="20"/>
                <w:szCs w:val="20"/>
              </w:rPr>
              <w:t>Amundi</w:t>
            </w:r>
            <w:proofErr w:type="spellEnd"/>
          </w:p>
        </w:tc>
        <w:tc>
          <w:tcPr>
            <w:tcW w:w="0" w:type="auto"/>
            <w:hideMark/>
          </w:tcPr>
          <w:p w14:paraId="23E79C5D" w14:textId="77777777" w:rsidR="00161DE2" w:rsidRPr="001B2FA2" w:rsidRDefault="00161DE2" w:rsidP="00233105">
            <w:pPr>
              <w:rPr>
                <w:rFonts w:ascii="Arial" w:hAnsi="Arial" w:cs="Arial"/>
                <w:sz w:val="20"/>
                <w:szCs w:val="20"/>
              </w:rPr>
            </w:pPr>
            <w:r w:rsidRPr="001B2FA2">
              <w:rPr>
                <w:rFonts w:ascii="Arial" w:hAnsi="Arial" w:cs="Arial"/>
                <w:sz w:val="20"/>
                <w:szCs w:val="20"/>
              </w:rPr>
              <w:t>9,0</w:t>
            </w:r>
          </w:p>
        </w:tc>
        <w:tc>
          <w:tcPr>
            <w:tcW w:w="0" w:type="auto"/>
            <w:hideMark/>
          </w:tcPr>
          <w:p w14:paraId="076667EB" w14:textId="77777777" w:rsidR="00161DE2" w:rsidRPr="001B2FA2" w:rsidRDefault="00161DE2" w:rsidP="00233105">
            <w:pPr>
              <w:rPr>
                <w:rFonts w:ascii="Arial" w:hAnsi="Arial" w:cs="Arial"/>
                <w:sz w:val="20"/>
                <w:szCs w:val="20"/>
              </w:rPr>
            </w:pPr>
            <w:r w:rsidRPr="001B2FA2">
              <w:rPr>
                <w:rFonts w:ascii="Arial" w:hAnsi="Arial" w:cs="Arial"/>
                <w:sz w:val="20"/>
                <w:szCs w:val="20"/>
              </w:rPr>
              <w:t>8,0</w:t>
            </w:r>
          </w:p>
        </w:tc>
        <w:tc>
          <w:tcPr>
            <w:tcW w:w="0" w:type="auto"/>
            <w:hideMark/>
          </w:tcPr>
          <w:p w14:paraId="7EAD4476" w14:textId="77777777" w:rsidR="00161DE2" w:rsidRPr="001B2FA2" w:rsidRDefault="00161DE2" w:rsidP="00233105">
            <w:pPr>
              <w:rPr>
                <w:rFonts w:ascii="Arial" w:hAnsi="Arial" w:cs="Arial"/>
                <w:sz w:val="20"/>
                <w:szCs w:val="20"/>
              </w:rPr>
            </w:pPr>
            <w:r w:rsidRPr="001B2FA2">
              <w:rPr>
                <w:rFonts w:ascii="Arial" w:hAnsi="Arial" w:cs="Arial"/>
                <w:sz w:val="20"/>
                <w:szCs w:val="20"/>
              </w:rPr>
              <w:t>7,0</w:t>
            </w:r>
          </w:p>
        </w:tc>
        <w:tc>
          <w:tcPr>
            <w:tcW w:w="0" w:type="auto"/>
            <w:hideMark/>
          </w:tcPr>
          <w:p w14:paraId="58285582" w14:textId="77777777" w:rsidR="00161DE2" w:rsidRPr="001B2FA2" w:rsidRDefault="00161DE2" w:rsidP="00233105">
            <w:pPr>
              <w:rPr>
                <w:rFonts w:ascii="Arial" w:hAnsi="Arial" w:cs="Arial"/>
                <w:sz w:val="20"/>
                <w:szCs w:val="20"/>
              </w:rPr>
            </w:pPr>
            <w:r w:rsidRPr="001B2FA2">
              <w:rPr>
                <w:rFonts w:ascii="Arial" w:hAnsi="Arial" w:cs="Arial"/>
                <w:b/>
                <w:bCs/>
                <w:sz w:val="20"/>
                <w:szCs w:val="20"/>
              </w:rPr>
              <w:t>8,0</w:t>
            </w:r>
          </w:p>
        </w:tc>
      </w:tr>
      <w:tr w:rsidR="00161DE2" w:rsidRPr="001B2FA2" w14:paraId="5AE7191C" w14:textId="77777777" w:rsidTr="00233105">
        <w:tc>
          <w:tcPr>
            <w:tcW w:w="0" w:type="auto"/>
            <w:hideMark/>
          </w:tcPr>
          <w:p w14:paraId="2B59818A" w14:textId="77777777" w:rsidR="00161DE2" w:rsidRPr="001B2FA2" w:rsidRDefault="00161DE2" w:rsidP="00233105">
            <w:pPr>
              <w:rPr>
                <w:rFonts w:ascii="Arial" w:hAnsi="Arial" w:cs="Arial"/>
                <w:sz w:val="20"/>
                <w:szCs w:val="20"/>
              </w:rPr>
            </w:pPr>
            <w:r w:rsidRPr="001B2FA2">
              <w:rPr>
                <w:rFonts w:ascii="Arial" w:hAnsi="Arial" w:cs="Arial"/>
                <w:b/>
                <w:bCs/>
                <w:sz w:val="20"/>
                <w:szCs w:val="20"/>
              </w:rPr>
              <w:t>DWS Group</w:t>
            </w:r>
          </w:p>
        </w:tc>
        <w:tc>
          <w:tcPr>
            <w:tcW w:w="0" w:type="auto"/>
            <w:hideMark/>
          </w:tcPr>
          <w:p w14:paraId="23CB5A09" w14:textId="77777777" w:rsidR="00161DE2" w:rsidRPr="001B2FA2" w:rsidRDefault="00161DE2" w:rsidP="00233105">
            <w:pPr>
              <w:rPr>
                <w:rFonts w:ascii="Arial" w:hAnsi="Arial" w:cs="Arial"/>
                <w:sz w:val="20"/>
                <w:szCs w:val="20"/>
              </w:rPr>
            </w:pPr>
            <w:r w:rsidRPr="001B2FA2">
              <w:rPr>
                <w:rFonts w:ascii="Arial" w:hAnsi="Arial" w:cs="Arial"/>
                <w:sz w:val="20"/>
                <w:szCs w:val="20"/>
              </w:rPr>
              <w:t>7,5</w:t>
            </w:r>
          </w:p>
        </w:tc>
        <w:tc>
          <w:tcPr>
            <w:tcW w:w="0" w:type="auto"/>
            <w:hideMark/>
          </w:tcPr>
          <w:p w14:paraId="4B49C903" w14:textId="77777777" w:rsidR="00161DE2" w:rsidRPr="001B2FA2" w:rsidRDefault="00161DE2" w:rsidP="00233105">
            <w:pPr>
              <w:rPr>
                <w:rFonts w:ascii="Arial" w:hAnsi="Arial" w:cs="Arial"/>
                <w:sz w:val="20"/>
                <w:szCs w:val="20"/>
              </w:rPr>
            </w:pPr>
            <w:r w:rsidRPr="001B2FA2">
              <w:rPr>
                <w:rFonts w:ascii="Arial" w:hAnsi="Arial" w:cs="Arial"/>
                <w:sz w:val="20"/>
                <w:szCs w:val="20"/>
              </w:rPr>
              <w:t>6,5</w:t>
            </w:r>
          </w:p>
        </w:tc>
        <w:tc>
          <w:tcPr>
            <w:tcW w:w="0" w:type="auto"/>
            <w:hideMark/>
          </w:tcPr>
          <w:p w14:paraId="68B14557" w14:textId="77777777" w:rsidR="00161DE2" w:rsidRPr="001B2FA2" w:rsidRDefault="00161DE2" w:rsidP="00233105">
            <w:pPr>
              <w:rPr>
                <w:rFonts w:ascii="Arial" w:hAnsi="Arial" w:cs="Arial"/>
                <w:sz w:val="20"/>
                <w:szCs w:val="20"/>
              </w:rPr>
            </w:pPr>
            <w:r w:rsidRPr="001B2FA2">
              <w:rPr>
                <w:rFonts w:ascii="Arial" w:hAnsi="Arial" w:cs="Arial"/>
                <w:sz w:val="20"/>
                <w:szCs w:val="20"/>
              </w:rPr>
              <w:t>2,5</w:t>
            </w:r>
          </w:p>
        </w:tc>
        <w:tc>
          <w:tcPr>
            <w:tcW w:w="0" w:type="auto"/>
            <w:hideMark/>
          </w:tcPr>
          <w:p w14:paraId="73BDFEDB" w14:textId="77777777" w:rsidR="00161DE2" w:rsidRPr="001B2FA2" w:rsidRDefault="00161DE2" w:rsidP="00233105">
            <w:pPr>
              <w:rPr>
                <w:rFonts w:ascii="Arial" w:hAnsi="Arial" w:cs="Arial"/>
                <w:sz w:val="20"/>
                <w:szCs w:val="20"/>
              </w:rPr>
            </w:pPr>
            <w:r w:rsidRPr="001B2FA2">
              <w:rPr>
                <w:rFonts w:ascii="Arial" w:hAnsi="Arial" w:cs="Arial"/>
                <w:b/>
                <w:bCs/>
                <w:sz w:val="20"/>
                <w:szCs w:val="20"/>
              </w:rPr>
              <w:t>5,9</w:t>
            </w:r>
          </w:p>
        </w:tc>
      </w:tr>
    </w:tbl>
    <w:p w14:paraId="6EBB2342" w14:textId="77777777" w:rsidR="00161DE2" w:rsidRPr="001B2FA2" w:rsidRDefault="00161DE2" w:rsidP="00161DE2">
      <w:pPr>
        <w:spacing w:before="100" w:beforeAutospacing="1" w:after="100" w:afterAutospacing="1"/>
        <w:rPr>
          <w:rFonts w:ascii="Arial" w:hAnsi="Arial" w:cs="Arial"/>
          <w:color w:val="000000"/>
        </w:rPr>
      </w:pPr>
      <w:r w:rsidRPr="001B2FA2">
        <w:rPr>
          <w:rFonts w:ascii="Arial" w:hAnsi="Arial" w:cs="Arial"/>
          <w:b/>
          <w:bCs/>
          <w:color w:val="000000"/>
        </w:rPr>
        <w:t>Toelichting op de weging:</w:t>
      </w:r>
      <w:r w:rsidRPr="001B2FA2">
        <w:rPr>
          <w:rFonts w:ascii="Arial" w:hAnsi="Arial" w:cs="Arial"/>
          <w:color w:val="000000"/>
        </w:rPr>
        <w:br/>
        <w:t xml:space="preserve">De nadruk ligt op duurzaamheid en </w:t>
      </w:r>
      <w:proofErr w:type="spellStart"/>
      <w:r w:rsidRPr="001B2FA2">
        <w:rPr>
          <w:rFonts w:ascii="Arial" w:hAnsi="Arial" w:cs="Arial"/>
          <w:color w:val="000000"/>
        </w:rPr>
        <w:t>governance</w:t>
      </w:r>
      <w:proofErr w:type="spellEnd"/>
      <w:r w:rsidRPr="001B2FA2">
        <w:rPr>
          <w:rFonts w:ascii="Arial" w:hAnsi="Arial" w:cs="Arial"/>
          <w:color w:val="000000"/>
        </w:rPr>
        <w:t xml:space="preserve"> (samen 80%), omdat deze factoren het meest bepalen of een vermogensbeheerder past bij de missie van </w:t>
      </w:r>
      <w:proofErr w:type="spellStart"/>
      <w:r w:rsidRPr="001B2FA2">
        <w:rPr>
          <w:rFonts w:ascii="Arial" w:hAnsi="Arial" w:cs="Arial"/>
          <w:color w:val="000000"/>
        </w:rPr>
        <w:t>HuisjeBoompjeBeleggen</w:t>
      </w:r>
      <w:proofErr w:type="spellEnd"/>
      <w:r w:rsidRPr="001B2FA2">
        <w:rPr>
          <w:rFonts w:ascii="Arial" w:hAnsi="Arial" w:cs="Arial"/>
          <w:color w:val="000000"/>
        </w:rPr>
        <w:t xml:space="preserve">. Bad </w:t>
      </w:r>
      <w:proofErr w:type="spellStart"/>
      <w:r w:rsidRPr="001B2FA2">
        <w:rPr>
          <w:rFonts w:ascii="Arial" w:hAnsi="Arial" w:cs="Arial"/>
          <w:color w:val="000000"/>
        </w:rPr>
        <w:t>press</w:t>
      </w:r>
      <w:proofErr w:type="spellEnd"/>
      <w:r w:rsidRPr="001B2FA2">
        <w:rPr>
          <w:rFonts w:ascii="Arial" w:hAnsi="Arial" w:cs="Arial"/>
          <w:color w:val="000000"/>
        </w:rPr>
        <w:t xml:space="preserve"> weegt voor 20%, omdat reputatie invloed heeft op betrouwbaarheid, maar niet alles zegt over de daadwerkelijke prestaties.</w:t>
      </w:r>
    </w:p>
    <w:p w14:paraId="1C447DE2" w14:textId="77777777" w:rsidR="00161DE2" w:rsidRDefault="00161DE2" w:rsidP="00161DE2">
      <w:pPr>
        <w:spacing w:before="100" w:beforeAutospacing="1" w:after="100" w:afterAutospacing="1"/>
        <w:outlineLvl w:val="1"/>
        <w:rPr>
          <w:rFonts w:ascii="Arial" w:hAnsi="Arial" w:cs="Arial"/>
          <w:b/>
          <w:bCs/>
          <w:color w:val="000000"/>
        </w:rPr>
      </w:pPr>
    </w:p>
    <w:p w14:paraId="0A9E17F4" w14:textId="77777777" w:rsidR="00161DE2" w:rsidRDefault="00161DE2" w:rsidP="00161DE2">
      <w:pPr>
        <w:spacing w:before="100" w:beforeAutospacing="1" w:after="100" w:afterAutospacing="1"/>
        <w:outlineLvl w:val="1"/>
        <w:rPr>
          <w:rFonts w:ascii="Arial" w:hAnsi="Arial" w:cs="Arial"/>
          <w:b/>
          <w:bCs/>
          <w:color w:val="000000"/>
          <w:sz w:val="40"/>
          <w:szCs w:val="40"/>
        </w:rPr>
      </w:pPr>
    </w:p>
    <w:p w14:paraId="6E099EBD" w14:textId="77777777" w:rsidR="00161DE2" w:rsidRDefault="00161DE2" w:rsidP="00161DE2">
      <w:pPr>
        <w:spacing w:before="100" w:beforeAutospacing="1" w:after="100" w:afterAutospacing="1"/>
        <w:outlineLvl w:val="1"/>
        <w:rPr>
          <w:rFonts w:ascii="Arial" w:hAnsi="Arial" w:cs="Arial"/>
          <w:b/>
          <w:bCs/>
          <w:color w:val="000000"/>
          <w:sz w:val="40"/>
          <w:szCs w:val="40"/>
        </w:rPr>
      </w:pPr>
    </w:p>
    <w:p w14:paraId="021BB439" w14:textId="77777777" w:rsidR="00161DE2" w:rsidRPr="0068750A" w:rsidRDefault="00161DE2" w:rsidP="00161DE2">
      <w:pPr>
        <w:spacing w:before="100" w:beforeAutospacing="1" w:after="100" w:afterAutospacing="1"/>
        <w:outlineLvl w:val="1"/>
        <w:rPr>
          <w:rFonts w:ascii="Arial" w:hAnsi="Arial" w:cs="Arial"/>
          <w:b/>
          <w:bCs/>
          <w:color w:val="000000"/>
          <w:sz w:val="40"/>
          <w:szCs w:val="40"/>
        </w:rPr>
      </w:pPr>
      <w:r w:rsidRPr="0068750A">
        <w:rPr>
          <w:rFonts w:ascii="Arial" w:hAnsi="Arial" w:cs="Arial"/>
          <w:b/>
          <w:bCs/>
          <w:color w:val="000000"/>
          <w:sz w:val="40"/>
          <w:szCs w:val="40"/>
        </w:rPr>
        <w:t xml:space="preserve">Definitieve keuze: ASN Impact </w:t>
      </w:r>
      <w:proofErr w:type="spellStart"/>
      <w:r w:rsidRPr="0068750A">
        <w:rPr>
          <w:rFonts w:ascii="Arial" w:hAnsi="Arial" w:cs="Arial"/>
          <w:b/>
          <w:bCs/>
          <w:color w:val="000000"/>
          <w:sz w:val="40"/>
          <w:szCs w:val="40"/>
        </w:rPr>
        <w:t>Investors</w:t>
      </w:r>
      <w:proofErr w:type="spellEnd"/>
    </w:p>
    <w:p w14:paraId="7BDD900C" w14:textId="77777777" w:rsidR="00161DE2" w:rsidRPr="0068750A" w:rsidRDefault="00161DE2" w:rsidP="00161DE2">
      <w:pPr>
        <w:spacing w:before="100" w:beforeAutospacing="1" w:after="100" w:afterAutospacing="1"/>
        <w:rPr>
          <w:rFonts w:ascii="Arial" w:hAnsi="Arial" w:cs="Arial"/>
          <w:color w:val="000000"/>
        </w:rPr>
      </w:pPr>
      <w:r w:rsidRPr="0068750A">
        <w:rPr>
          <w:rFonts w:ascii="Arial" w:hAnsi="Arial" w:cs="Arial"/>
          <w:color w:val="000000"/>
        </w:rPr>
        <w:t>Na het vergelijken van de vier vermogensbeheerders kies ik voor </w:t>
      </w:r>
      <w:r w:rsidRPr="0068750A">
        <w:rPr>
          <w:rFonts w:ascii="Arial" w:hAnsi="Arial" w:cs="Arial"/>
          <w:b/>
          <w:bCs/>
          <w:color w:val="000000"/>
        </w:rPr>
        <w:t xml:space="preserve">ASN Impact </w:t>
      </w:r>
      <w:proofErr w:type="spellStart"/>
      <w:r w:rsidRPr="0068750A">
        <w:rPr>
          <w:rFonts w:ascii="Arial" w:hAnsi="Arial" w:cs="Arial"/>
          <w:b/>
          <w:bCs/>
          <w:color w:val="000000"/>
        </w:rPr>
        <w:t>Investors</w:t>
      </w:r>
      <w:proofErr w:type="spellEnd"/>
      <w:r w:rsidRPr="0068750A">
        <w:rPr>
          <w:rFonts w:ascii="Arial" w:hAnsi="Arial" w:cs="Arial"/>
          <w:color w:val="000000"/>
        </w:rPr>
        <w:t>.</w:t>
      </w:r>
      <w:r>
        <w:rPr>
          <w:rFonts w:ascii="Arial" w:hAnsi="Arial" w:cs="Arial"/>
          <w:color w:val="000000"/>
        </w:rPr>
        <w:t xml:space="preserve"> </w:t>
      </w:r>
      <w:r w:rsidRPr="0068750A">
        <w:rPr>
          <w:rFonts w:ascii="Arial" w:hAnsi="Arial" w:cs="Arial"/>
          <w:color w:val="000000"/>
        </w:rPr>
        <w:t>Hun beleid is volledig gericht op duurzaamheid, ze werken transparant en betrouwbaar, en ze hanteren duidelijke meetbare doelen.</w:t>
      </w:r>
      <w:r w:rsidRPr="0068750A">
        <w:rPr>
          <w:rFonts w:ascii="Arial" w:hAnsi="Arial" w:cs="Arial"/>
          <w:color w:val="000000"/>
        </w:rPr>
        <w:br/>
        <w:t>ASN past goed bij de waarden van </w:t>
      </w:r>
      <w:proofErr w:type="spellStart"/>
      <w:r w:rsidRPr="0068750A">
        <w:rPr>
          <w:rFonts w:ascii="Arial" w:hAnsi="Arial" w:cs="Arial"/>
          <w:color w:val="000000"/>
        </w:rPr>
        <w:t>HuisjeBoompjeBeleggen</w:t>
      </w:r>
      <w:proofErr w:type="spellEnd"/>
      <w:r w:rsidRPr="0068750A">
        <w:rPr>
          <w:rFonts w:ascii="Arial" w:hAnsi="Arial" w:cs="Arial"/>
          <w:color w:val="000000"/>
        </w:rPr>
        <w:t>: eerlijkheid, duurzaamheid en vertrouwen. Daarnaast is ASN een Nederlandse partij, wat zorgt voor korte communicatielijnen en een cultuur die goed aansluit bij onze doelgroep.</w:t>
      </w:r>
    </w:p>
    <w:p w14:paraId="7DEC160B" w14:textId="77777777" w:rsidR="00161DE2" w:rsidRPr="0068750A" w:rsidRDefault="00161DE2" w:rsidP="00161DE2">
      <w:pPr>
        <w:spacing w:before="100" w:beforeAutospacing="1" w:after="100" w:afterAutospacing="1"/>
        <w:rPr>
          <w:rFonts w:ascii="Arial" w:hAnsi="Arial" w:cs="Arial"/>
          <w:color w:val="000000"/>
        </w:rPr>
      </w:pPr>
      <w:r w:rsidRPr="0068750A">
        <w:rPr>
          <w:rFonts w:ascii="Arial" w:hAnsi="Arial" w:cs="Arial"/>
          <w:color w:val="000000"/>
        </w:rPr>
        <w:t>Door samen te werken met ASN kunnen wij klanten niet alleen helpen hun vermogen te laten groeien, maar ook bijdragen aan een duurzamere samenleving. Dat maakt ASN niet alleen de meest logische, maar ook de meest waardevolle keuze.</w:t>
      </w:r>
    </w:p>
    <w:p w14:paraId="65169450" w14:textId="77777777" w:rsidR="00161DE2" w:rsidRPr="0068750A" w:rsidRDefault="00161DE2" w:rsidP="00161DE2">
      <w:pPr>
        <w:rPr>
          <w:rFonts w:ascii="Arial" w:hAnsi="Arial" w:cs="Arial"/>
        </w:rPr>
      </w:pPr>
    </w:p>
    <w:p w14:paraId="2E44A5B1" w14:textId="77777777" w:rsidR="00161DE2" w:rsidRPr="0040536F" w:rsidRDefault="00161DE2" w:rsidP="00161DE2">
      <w:pPr>
        <w:spacing w:before="100" w:beforeAutospacing="1" w:after="100" w:afterAutospacing="1"/>
        <w:outlineLvl w:val="2"/>
        <w:rPr>
          <w:rFonts w:ascii="Arial" w:hAnsi="Arial" w:cs="Arial"/>
          <w:b/>
          <w:bCs/>
          <w:color w:val="000000"/>
          <w:sz w:val="28"/>
          <w:szCs w:val="28"/>
        </w:rPr>
      </w:pPr>
      <w:r w:rsidRPr="0040536F">
        <w:rPr>
          <w:rFonts w:ascii="Arial" w:hAnsi="Arial" w:cs="Arial"/>
          <w:b/>
          <w:bCs/>
          <w:color w:val="000000"/>
          <w:sz w:val="28"/>
          <w:szCs w:val="28"/>
        </w:rPr>
        <w:t>Bronnen</w:t>
      </w:r>
    </w:p>
    <w:p w14:paraId="1A954EF8" w14:textId="77777777" w:rsidR="00161DE2" w:rsidRPr="0040536F" w:rsidRDefault="00161DE2" w:rsidP="00161DE2">
      <w:pPr>
        <w:numPr>
          <w:ilvl w:val="0"/>
          <w:numId w:val="8"/>
        </w:numPr>
        <w:spacing w:before="100" w:beforeAutospacing="1" w:after="100" w:afterAutospacing="1" w:line="240" w:lineRule="auto"/>
        <w:rPr>
          <w:rFonts w:ascii="Arial" w:hAnsi="Arial" w:cs="Arial"/>
          <w:color w:val="000000"/>
        </w:rPr>
      </w:pPr>
      <w:proofErr w:type="spellStart"/>
      <w:r w:rsidRPr="0040536F">
        <w:rPr>
          <w:rFonts w:ascii="Arial" w:hAnsi="Arial" w:cs="Arial"/>
          <w:color w:val="000000"/>
        </w:rPr>
        <w:t>Amundi</w:t>
      </w:r>
      <w:proofErr w:type="spellEnd"/>
      <w:r w:rsidRPr="0040536F">
        <w:rPr>
          <w:rFonts w:ascii="Arial" w:hAnsi="Arial" w:cs="Arial"/>
          <w:color w:val="000000"/>
        </w:rPr>
        <w:t xml:space="preserve">. (2024). Universal </w:t>
      </w:r>
      <w:proofErr w:type="spellStart"/>
      <w:r w:rsidRPr="0040536F">
        <w:rPr>
          <w:rFonts w:ascii="Arial" w:hAnsi="Arial" w:cs="Arial"/>
          <w:color w:val="000000"/>
        </w:rPr>
        <w:t>Registration</w:t>
      </w:r>
      <w:proofErr w:type="spellEnd"/>
      <w:r w:rsidRPr="0040536F">
        <w:rPr>
          <w:rFonts w:ascii="Arial" w:hAnsi="Arial" w:cs="Arial"/>
          <w:color w:val="000000"/>
        </w:rPr>
        <w:t xml:space="preserve"> Document 2024. Geraadpleegd van </w:t>
      </w:r>
      <w:hyperlink r:id="rId47" w:tgtFrame="_new" w:history="1">
        <w:r w:rsidRPr="0040536F">
          <w:rPr>
            <w:rFonts w:ascii="Arial" w:hAnsi="Arial" w:cs="Arial"/>
            <w:color w:val="0000FF"/>
            <w:u w:val="single"/>
          </w:rPr>
          <w:t>https://www.amundi.com</w:t>
        </w:r>
      </w:hyperlink>
    </w:p>
    <w:p w14:paraId="6D03477F" w14:textId="77777777" w:rsidR="00161DE2" w:rsidRPr="0040536F" w:rsidRDefault="00161DE2" w:rsidP="00161DE2">
      <w:pPr>
        <w:numPr>
          <w:ilvl w:val="0"/>
          <w:numId w:val="8"/>
        </w:numPr>
        <w:spacing w:before="100" w:beforeAutospacing="1" w:after="100" w:afterAutospacing="1" w:line="240" w:lineRule="auto"/>
        <w:rPr>
          <w:rFonts w:ascii="Arial" w:hAnsi="Arial" w:cs="Arial"/>
          <w:color w:val="000000"/>
        </w:rPr>
      </w:pPr>
      <w:r w:rsidRPr="0040536F">
        <w:rPr>
          <w:rFonts w:ascii="Arial" w:hAnsi="Arial" w:cs="Arial"/>
          <w:color w:val="000000"/>
        </w:rPr>
        <w:lastRenderedPageBreak/>
        <w:t xml:space="preserve">ASN Impact </w:t>
      </w:r>
      <w:proofErr w:type="spellStart"/>
      <w:r w:rsidRPr="0040536F">
        <w:rPr>
          <w:rFonts w:ascii="Arial" w:hAnsi="Arial" w:cs="Arial"/>
          <w:color w:val="000000"/>
        </w:rPr>
        <w:t>Investors</w:t>
      </w:r>
      <w:proofErr w:type="spellEnd"/>
      <w:r w:rsidRPr="0040536F">
        <w:rPr>
          <w:rFonts w:ascii="Arial" w:hAnsi="Arial" w:cs="Arial"/>
          <w:color w:val="000000"/>
        </w:rPr>
        <w:t>. (2024). Jaarverslag 2024. Geraadpleegd van </w:t>
      </w:r>
      <w:hyperlink r:id="rId48" w:tgtFrame="_new" w:history="1">
        <w:r w:rsidRPr="0040536F">
          <w:rPr>
            <w:rFonts w:ascii="Arial" w:hAnsi="Arial" w:cs="Arial"/>
            <w:color w:val="0000FF"/>
            <w:u w:val="single"/>
          </w:rPr>
          <w:t>https://www.asnimpactinvestors.com</w:t>
        </w:r>
      </w:hyperlink>
    </w:p>
    <w:p w14:paraId="31DAD750" w14:textId="77777777" w:rsidR="00161DE2" w:rsidRPr="0040536F" w:rsidRDefault="00161DE2" w:rsidP="00161DE2">
      <w:pPr>
        <w:numPr>
          <w:ilvl w:val="0"/>
          <w:numId w:val="8"/>
        </w:numPr>
        <w:spacing w:before="100" w:beforeAutospacing="1" w:after="100" w:afterAutospacing="1" w:line="240" w:lineRule="auto"/>
        <w:rPr>
          <w:rFonts w:ascii="Arial" w:hAnsi="Arial" w:cs="Arial"/>
          <w:color w:val="000000"/>
        </w:rPr>
      </w:pPr>
      <w:r w:rsidRPr="0040536F">
        <w:rPr>
          <w:rFonts w:ascii="Arial" w:hAnsi="Arial" w:cs="Arial"/>
          <w:color w:val="000000"/>
        </w:rPr>
        <w:t xml:space="preserve">ASN Impact </w:t>
      </w:r>
      <w:proofErr w:type="spellStart"/>
      <w:r w:rsidRPr="0040536F">
        <w:rPr>
          <w:rFonts w:ascii="Arial" w:hAnsi="Arial" w:cs="Arial"/>
          <w:color w:val="000000"/>
        </w:rPr>
        <w:t>Investors</w:t>
      </w:r>
      <w:proofErr w:type="spellEnd"/>
      <w:r w:rsidRPr="0040536F">
        <w:rPr>
          <w:rFonts w:ascii="Arial" w:hAnsi="Arial" w:cs="Arial"/>
          <w:color w:val="000000"/>
        </w:rPr>
        <w:t>. (2025). Halfjaarbericht 2025. Geraadpleegd van </w:t>
      </w:r>
      <w:hyperlink r:id="rId49" w:tgtFrame="_new" w:history="1">
        <w:r w:rsidRPr="0040536F">
          <w:rPr>
            <w:rFonts w:ascii="Arial" w:hAnsi="Arial" w:cs="Arial"/>
            <w:color w:val="0000FF"/>
            <w:u w:val="single"/>
          </w:rPr>
          <w:t>https://www.asnimpactinvestors.com</w:t>
        </w:r>
      </w:hyperlink>
    </w:p>
    <w:p w14:paraId="3382DB6D" w14:textId="77777777" w:rsidR="00161DE2" w:rsidRPr="0040536F" w:rsidRDefault="00161DE2" w:rsidP="00161DE2">
      <w:pPr>
        <w:numPr>
          <w:ilvl w:val="0"/>
          <w:numId w:val="8"/>
        </w:numPr>
        <w:spacing w:before="100" w:beforeAutospacing="1" w:after="100" w:afterAutospacing="1" w:line="240" w:lineRule="auto"/>
        <w:rPr>
          <w:rFonts w:ascii="Arial" w:hAnsi="Arial" w:cs="Arial"/>
          <w:color w:val="000000"/>
        </w:rPr>
      </w:pPr>
      <w:proofErr w:type="spellStart"/>
      <w:r w:rsidRPr="0040536F">
        <w:rPr>
          <w:rFonts w:ascii="Arial" w:hAnsi="Arial" w:cs="Arial"/>
          <w:color w:val="000000"/>
          <w:lang w:val="en-US"/>
        </w:rPr>
        <w:t>Triodos</w:t>
      </w:r>
      <w:proofErr w:type="spellEnd"/>
      <w:r w:rsidRPr="0040536F">
        <w:rPr>
          <w:rFonts w:ascii="Arial" w:hAnsi="Arial" w:cs="Arial"/>
          <w:color w:val="000000"/>
          <w:lang w:val="en-US"/>
        </w:rPr>
        <w:t xml:space="preserve"> Investment Management. (2024). Annual Impact Report 2024. </w:t>
      </w:r>
      <w:r w:rsidRPr="0040536F">
        <w:rPr>
          <w:rFonts w:ascii="Arial" w:hAnsi="Arial" w:cs="Arial"/>
          <w:color w:val="000000"/>
        </w:rPr>
        <w:t>Geraadpleegd van </w:t>
      </w:r>
      <w:hyperlink r:id="rId50" w:tgtFrame="_new" w:history="1">
        <w:r w:rsidRPr="0040536F">
          <w:rPr>
            <w:rFonts w:ascii="Arial" w:hAnsi="Arial" w:cs="Arial"/>
            <w:color w:val="0000FF"/>
            <w:u w:val="single"/>
          </w:rPr>
          <w:t>https://www.triodos-im.com</w:t>
        </w:r>
      </w:hyperlink>
    </w:p>
    <w:p w14:paraId="3E28A363" w14:textId="77777777" w:rsidR="00161DE2" w:rsidRPr="0040536F" w:rsidRDefault="00161DE2" w:rsidP="00161DE2">
      <w:pPr>
        <w:numPr>
          <w:ilvl w:val="0"/>
          <w:numId w:val="8"/>
        </w:numPr>
        <w:spacing w:before="100" w:beforeAutospacing="1" w:after="100" w:afterAutospacing="1" w:line="240" w:lineRule="auto"/>
        <w:rPr>
          <w:rFonts w:ascii="Arial" w:hAnsi="Arial" w:cs="Arial"/>
          <w:color w:val="000000"/>
          <w:lang w:val="en-US"/>
        </w:rPr>
      </w:pPr>
      <w:r w:rsidRPr="0040536F">
        <w:rPr>
          <w:rFonts w:ascii="Arial" w:hAnsi="Arial" w:cs="Arial"/>
          <w:color w:val="000000"/>
          <w:lang w:val="en-US"/>
        </w:rPr>
        <w:t>DWS Group. (2024). Annual Report 2024. </w:t>
      </w:r>
      <w:proofErr w:type="spellStart"/>
      <w:r w:rsidRPr="0040536F">
        <w:rPr>
          <w:rFonts w:ascii="Arial" w:hAnsi="Arial" w:cs="Arial"/>
          <w:color w:val="000000"/>
          <w:lang w:val="en-US"/>
        </w:rPr>
        <w:t>Geraadpleegd</w:t>
      </w:r>
      <w:proofErr w:type="spellEnd"/>
      <w:r w:rsidRPr="0040536F">
        <w:rPr>
          <w:rFonts w:ascii="Arial" w:hAnsi="Arial" w:cs="Arial"/>
          <w:color w:val="000000"/>
          <w:lang w:val="en-US"/>
        </w:rPr>
        <w:t xml:space="preserve"> van </w:t>
      </w:r>
      <w:hyperlink r:id="rId51" w:tgtFrame="_new" w:history="1">
        <w:r w:rsidRPr="0040536F">
          <w:rPr>
            <w:rFonts w:ascii="Arial" w:hAnsi="Arial" w:cs="Arial"/>
            <w:color w:val="0000FF"/>
            <w:u w:val="single"/>
            <w:lang w:val="en-US"/>
          </w:rPr>
          <w:t>https://www.dws.com</w:t>
        </w:r>
      </w:hyperlink>
    </w:p>
    <w:p w14:paraId="3810EF0C" w14:textId="77777777" w:rsidR="00161DE2" w:rsidRPr="0040536F" w:rsidRDefault="00161DE2" w:rsidP="00161DE2">
      <w:pPr>
        <w:numPr>
          <w:ilvl w:val="0"/>
          <w:numId w:val="8"/>
        </w:numPr>
        <w:spacing w:before="100" w:beforeAutospacing="1" w:after="100" w:afterAutospacing="1" w:line="240" w:lineRule="auto"/>
        <w:rPr>
          <w:rFonts w:ascii="Arial" w:hAnsi="Arial" w:cs="Arial"/>
          <w:color w:val="000000"/>
          <w:lang w:val="en-US"/>
        </w:rPr>
      </w:pPr>
      <w:r w:rsidRPr="0040536F">
        <w:rPr>
          <w:rFonts w:ascii="Arial" w:hAnsi="Arial" w:cs="Arial"/>
          <w:color w:val="000000"/>
          <w:lang w:val="en-US"/>
        </w:rPr>
        <w:t xml:space="preserve">Reuters. (2025, 2 </w:t>
      </w:r>
      <w:proofErr w:type="spellStart"/>
      <w:r w:rsidRPr="0040536F">
        <w:rPr>
          <w:rFonts w:ascii="Arial" w:hAnsi="Arial" w:cs="Arial"/>
          <w:color w:val="000000"/>
          <w:lang w:val="en-US"/>
        </w:rPr>
        <w:t>april</w:t>
      </w:r>
      <w:proofErr w:type="spellEnd"/>
      <w:r w:rsidRPr="0040536F">
        <w:rPr>
          <w:rFonts w:ascii="Arial" w:hAnsi="Arial" w:cs="Arial"/>
          <w:color w:val="000000"/>
          <w:lang w:val="en-US"/>
        </w:rPr>
        <w:t>). DWS fined €25 million for greenwashing.</w:t>
      </w:r>
    </w:p>
    <w:p w14:paraId="7CAF7047" w14:textId="77777777" w:rsidR="00161DE2" w:rsidRPr="0040536F" w:rsidRDefault="00161DE2" w:rsidP="00161DE2">
      <w:pPr>
        <w:numPr>
          <w:ilvl w:val="0"/>
          <w:numId w:val="8"/>
        </w:numPr>
        <w:spacing w:before="100" w:beforeAutospacing="1" w:after="100" w:afterAutospacing="1" w:line="240" w:lineRule="auto"/>
        <w:rPr>
          <w:rFonts w:ascii="Arial" w:hAnsi="Arial" w:cs="Arial"/>
          <w:color w:val="000000"/>
          <w:lang w:val="en-US"/>
        </w:rPr>
      </w:pPr>
      <w:r w:rsidRPr="0040536F">
        <w:rPr>
          <w:rFonts w:ascii="Arial" w:hAnsi="Arial" w:cs="Arial"/>
          <w:color w:val="000000"/>
          <w:lang w:val="en-US"/>
        </w:rPr>
        <w:t xml:space="preserve">Financial Times. (2024, 17 </w:t>
      </w:r>
      <w:proofErr w:type="spellStart"/>
      <w:r w:rsidRPr="0040536F">
        <w:rPr>
          <w:rFonts w:ascii="Arial" w:hAnsi="Arial" w:cs="Arial"/>
          <w:color w:val="000000"/>
          <w:lang w:val="en-US"/>
        </w:rPr>
        <w:t>oktober</w:t>
      </w:r>
      <w:proofErr w:type="spellEnd"/>
      <w:r w:rsidRPr="0040536F">
        <w:rPr>
          <w:rFonts w:ascii="Arial" w:hAnsi="Arial" w:cs="Arial"/>
          <w:color w:val="000000"/>
          <w:lang w:val="en-US"/>
        </w:rPr>
        <w:t>). European banks under pressure to speed up green transition.</w:t>
      </w:r>
    </w:p>
    <w:p w14:paraId="71735A96" w14:textId="77777777" w:rsidR="00161DE2" w:rsidRDefault="00161DE2" w:rsidP="00161DE2">
      <w:pPr>
        <w:numPr>
          <w:ilvl w:val="0"/>
          <w:numId w:val="8"/>
        </w:numPr>
        <w:spacing w:before="100" w:beforeAutospacing="1" w:after="100" w:afterAutospacing="1" w:line="240" w:lineRule="auto"/>
        <w:rPr>
          <w:rFonts w:ascii="Arial" w:hAnsi="Arial" w:cs="Arial"/>
          <w:color w:val="000000"/>
        </w:rPr>
      </w:pPr>
      <w:r w:rsidRPr="0040536F">
        <w:rPr>
          <w:rFonts w:ascii="Arial" w:hAnsi="Arial" w:cs="Arial"/>
          <w:color w:val="000000"/>
        </w:rPr>
        <w:t>AFM. (2024). Toezicht op verantwoord beleggen in Nederland.</w:t>
      </w:r>
    </w:p>
    <w:p w14:paraId="71672400" w14:textId="77777777" w:rsidR="00161DE2" w:rsidRPr="009852EC" w:rsidRDefault="00161DE2" w:rsidP="00161DE2">
      <w:pPr>
        <w:spacing w:before="100" w:beforeAutospacing="1" w:after="100" w:afterAutospacing="1"/>
        <w:rPr>
          <w:rFonts w:ascii="Arial" w:hAnsi="Arial" w:cs="Arial"/>
          <w:color w:val="000000"/>
        </w:rPr>
      </w:pPr>
    </w:p>
    <w:p w14:paraId="1CDD096A" w14:textId="77777777" w:rsidR="00161DE2" w:rsidRPr="00DD54CF" w:rsidRDefault="00161DE2" w:rsidP="00161DE2">
      <w:pPr>
        <w:spacing w:before="100" w:beforeAutospacing="1" w:after="100" w:afterAutospacing="1"/>
        <w:ind w:left="720"/>
        <w:rPr>
          <w:rFonts w:ascii="Arial" w:eastAsiaTheme="majorEastAsia" w:hAnsi="Arial" w:cs="Arial"/>
          <w:b/>
          <w:bCs/>
          <w:spacing w:val="-10"/>
          <w:kern w:val="28"/>
        </w:rPr>
      </w:pPr>
      <w:r w:rsidRPr="00DD54CF">
        <w:rPr>
          <w:rFonts w:ascii="Arial" w:eastAsiaTheme="majorEastAsia" w:hAnsi="Arial" w:cs="Arial"/>
          <w:b/>
          <w:bCs/>
          <w:spacing w:val="-10"/>
          <w:kern w:val="28"/>
        </w:rPr>
        <w:t>Stap 2 – Selectie beleggingsfondsen</w:t>
      </w:r>
    </w:p>
    <w:p w14:paraId="66BEF342"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In deze stap vergelijk ik drie wereldwijde duurzame aandelenfondsen. Alle fondsen beleggen wereldwijd in aandelen en passen daardoor goed bij elkaar. De fondsen verschillen vooral in kosten, aanpak en uitleg richting klanten. Door deze verschillen te analyseren kunnen we bepalen welk fonds het beste past bij wat wij klanten willen aanbieden op onze website.</w:t>
      </w:r>
    </w:p>
    <w:p w14:paraId="46871D51"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De drie fondsen die ik vergelijk:</w:t>
      </w:r>
    </w:p>
    <w:p w14:paraId="487C8D4F"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lang w:val="en-US"/>
        </w:rPr>
      </w:pPr>
      <w:r w:rsidRPr="00DD54CF">
        <w:rPr>
          <w:rFonts w:ascii="Arial" w:eastAsiaTheme="majorEastAsia" w:hAnsi="Arial" w:cs="Arial"/>
          <w:spacing w:val="-10"/>
          <w:kern w:val="28"/>
          <w:lang w:val="en-US"/>
        </w:rPr>
        <w:t>• JPMorgan Global Sustainable Equity Fund</w:t>
      </w:r>
    </w:p>
    <w:p w14:paraId="6D45E437"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lang w:val="en-US"/>
        </w:rPr>
      </w:pPr>
      <w:r w:rsidRPr="00DD54CF">
        <w:rPr>
          <w:rFonts w:ascii="Arial" w:eastAsiaTheme="majorEastAsia" w:hAnsi="Arial" w:cs="Arial"/>
          <w:spacing w:val="-10"/>
          <w:kern w:val="28"/>
          <w:lang w:val="en-US"/>
        </w:rPr>
        <w:t>• Vanguard ESG Global All-Cap UCITS ETF</w:t>
      </w:r>
    </w:p>
    <w:p w14:paraId="2D510DFD"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lang w:val="en-US"/>
        </w:rPr>
      </w:pPr>
      <w:r w:rsidRPr="00DD54CF">
        <w:rPr>
          <w:rFonts w:ascii="Arial" w:eastAsiaTheme="majorEastAsia" w:hAnsi="Arial" w:cs="Arial"/>
          <w:spacing w:val="-10"/>
          <w:kern w:val="28"/>
          <w:lang w:val="en-US"/>
        </w:rPr>
        <w:t>• Fidelity Sustainable Global Equity Fund</w:t>
      </w:r>
    </w:p>
    <w:p w14:paraId="19926E11" w14:textId="77777777" w:rsidR="00161DE2" w:rsidRPr="00DD54CF" w:rsidRDefault="00161DE2" w:rsidP="00161DE2">
      <w:pPr>
        <w:spacing w:before="100" w:beforeAutospacing="1" w:after="100" w:afterAutospacing="1"/>
        <w:ind w:left="720"/>
        <w:rPr>
          <w:rFonts w:ascii="Arial" w:eastAsiaTheme="majorEastAsia" w:hAnsi="Arial" w:cs="Arial"/>
          <w:b/>
          <w:bCs/>
          <w:spacing w:val="-10"/>
          <w:kern w:val="28"/>
          <w:lang w:val="en-US"/>
        </w:rPr>
      </w:pPr>
      <w:proofErr w:type="spellStart"/>
      <w:r w:rsidRPr="00DD54CF">
        <w:rPr>
          <w:rFonts w:ascii="Arial" w:eastAsiaTheme="majorEastAsia" w:hAnsi="Arial" w:cs="Arial"/>
          <w:b/>
          <w:bCs/>
          <w:spacing w:val="-10"/>
          <w:kern w:val="28"/>
          <w:lang w:val="en-US"/>
        </w:rPr>
        <w:t>Beschrijving</w:t>
      </w:r>
      <w:proofErr w:type="spellEnd"/>
      <w:r w:rsidRPr="00DD54CF">
        <w:rPr>
          <w:rFonts w:ascii="Arial" w:eastAsiaTheme="majorEastAsia" w:hAnsi="Arial" w:cs="Arial"/>
          <w:b/>
          <w:bCs/>
          <w:spacing w:val="-10"/>
          <w:kern w:val="28"/>
          <w:lang w:val="en-US"/>
        </w:rPr>
        <w:t xml:space="preserve"> van de </w:t>
      </w:r>
      <w:proofErr w:type="spellStart"/>
      <w:r w:rsidRPr="00DD54CF">
        <w:rPr>
          <w:rFonts w:ascii="Arial" w:eastAsiaTheme="majorEastAsia" w:hAnsi="Arial" w:cs="Arial"/>
          <w:b/>
          <w:bCs/>
          <w:spacing w:val="-10"/>
          <w:kern w:val="28"/>
          <w:lang w:val="en-US"/>
        </w:rPr>
        <w:t>fondsen</w:t>
      </w:r>
      <w:proofErr w:type="spellEnd"/>
    </w:p>
    <w:p w14:paraId="21953CC6"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proofErr w:type="spellStart"/>
      <w:r w:rsidRPr="00DD54CF">
        <w:rPr>
          <w:rFonts w:ascii="Arial" w:eastAsiaTheme="majorEastAsia" w:hAnsi="Arial" w:cs="Arial"/>
          <w:spacing w:val="-10"/>
          <w:kern w:val="28"/>
        </w:rPr>
        <w:t>JPMorgan</w:t>
      </w:r>
      <w:proofErr w:type="spellEnd"/>
      <w:r w:rsidRPr="00DD54CF">
        <w:rPr>
          <w:rFonts w:ascii="Arial" w:eastAsiaTheme="majorEastAsia" w:hAnsi="Arial" w:cs="Arial"/>
          <w:spacing w:val="-10"/>
          <w:kern w:val="28"/>
        </w:rPr>
        <w:t xml:space="preserve"> Global </w:t>
      </w:r>
      <w:proofErr w:type="spellStart"/>
      <w:r w:rsidRPr="00DD54CF">
        <w:rPr>
          <w:rFonts w:ascii="Arial" w:eastAsiaTheme="majorEastAsia" w:hAnsi="Arial" w:cs="Arial"/>
          <w:spacing w:val="-10"/>
          <w:kern w:val="28"/>
        </w:rPr>
        <w:t>Sustainable</w:t>
      </w:r>
      <w:proofErr w:type="spellEnd"/>
      <w:r w:rsidRPr="00DD54CF">
        <w:rPr>
          <w:rFonts w:ascii="Arial" w:eastAsiaTheme="majorEastAsia" w:hAnsi="Arial" w:cs="Arial"/>
          <w:spacing w:val="-10"/>
          <w:kern w:val="28"/>
        </w:rPr>
        <w:t xml:space="preserve"> </w:t>
      </w:r>
      <w:proofErr w:type="spellStart"/>
      <w:r w:rsidRPr="00DD54CF">
        <w:rPr>
          <w:rFonts w:ascii="Arial" w:eastAsiaTheme="majorEastAsia" w:hAnsi="Arial" w:cs="Arial"/>
          <w:spacing w:val="-10"/>
          <w:kern w:val="28"/>
        </w:rPr>
        <w:t>Equity</w:t>
      </w:r>
      <w:proofErr w:type="spellEnd"/>
      <w:r w:rsidRPr="00DD54CF">
        <w:rPr>
          <w:rFonts w:ascii="Arial" w:eastAsiaTheme="majorEastAsia" w:hAnsi="Arial" w:cs="Arial"/>
          <w:spacing w:val="-10"/>
          <w:kern w:val="28"/>
        </w:rPr>
        <w:t xml:space="preserve"> Fund</w:t>
      </w:r>
    </w:p>
    <w:p w14:paraId="75492D0D"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 xml:space="preserve">Dit is een actief beheerd wereldwijd aandelenfonds met een duidelijke duurzame insteek. </w:t>
      </w:r>
      <w:proofErr w:type="spellStart"/>
      <w:r w:rsidRPr="00DD54CF">
        <w:rPr>
          <w:rFonts w:ascii="Arial" w:eastAsiaTheme="majorEastAsia" w:hAnsi="Arial" w:cs="Arial"/>
          <w:spacing w:val="-10"/>
          <w:kern w:val="28"/>
        </w:rPr>
        <w:t>JPMorgan</w:t>
      </w:r>
      <w:proofErr w:type="spellEnd"/>
      <w:r w:rsidRPr="00DD54CF">
        <w:rPr>
          <w:rFonts w:ascii="Arial" w:eastAsiaTheme="majorEastAsia" w:hAnsi="Arial" w:cs="Arial"/>
          <w:spacing w:val="-10"/>
          <w:kern w:val="28"/>
        </w:rPr>
        <w:t xml:space="preserve"> selecteert bedrijven die zowel financieel sterk zijn als goed scoren op ESG-criteria. Het fonds sluit schadelijke sectoren uit en geeft in de documentatie duidelijk aan waarom bedrijven worden gekozen en hoe dit proces werkt (</w:t>
      </w:r>
      <w:proofErr w:type="spellStart"/>
      <w:r w:rsidRPr="00DD54CF">
        <w:rPr>
          <w:rFonts w:ascii="Arial" w:eastAsiaTheme="majorEastAsia" w:hAnsi="Arial" w:cs="Arial"/>
          <w:spacing w:val="-10"/>
          <w:kern w:val="28"/>
        </w:rPr>
        <w:t>JPMorgan</w:t>
      </w:r>
      <w:proofErr w:type="spellEnd"/>
      <w:r w:rsidRPr="00DD54CF">
        <w:rPr>
          <w:rFonts w:ascii="Arial" w:eastAsiaTheme="majorEastAsia" w:hAnsi="Arial" w:cs="Arial"/>
          <w:spacing w:val="-10"/>
          <w:kern w:val="28"/>
        </w:rPr>
        <w:t xml:space="preserve"> Asset Management, 2024). Het fonds is geschikt voor klanten die duurzaamheid belangrijk vinden en een duidelijke strategie willen.</w:t>
      </w:r>
    </w:p>
    <w:p w14:paraId="1352439C"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lang w:val="en-US"/>
        </w:rPr>
      </w:pPr>
      <w:r w:rsidRPr="00DD54CF">
        <w:rPr>
          <w:rFonts w:ascii="Arial" w:eastAsiaTheme="majorEastAsia" w:hAnsi="Arial" w:cs="Arial"/>
          <w:spacing w:val="-10"/>
          <w:kern w:val="28"/>
          <w:lang w:val="en-US"/>
        </w:rPr>
        <w:t>Vanguard ESG Global All-Cap UCITS ETF</w:t>
      </w:r>
    </w:p>
    <w:p w14:paraId="55F88320"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 xml:space="preserve">Dit is een passief wereldwijd ESG-fonds. Het volgt een index die bedrijven uitsluit die slecht scoren op milieu, sociale normen en </w:t>
      </w:r>
      <w:proofErr w:type="spellStart"/>
      <w:r w:rsidRPr="00DD54CF">
        <w:rPr>
          <w:rFonts w:ascii="Arial" w:eastAsiaTheme="majorEastAsia" w:hAnsi="Arial" w:cs="Arial"/>
          <w:spacing w:val="-10"/>
          <w:kern w:val="28"/>
        </w:rPr>
        <w:t>governance</w:t>
      </w:r>
      <w:proofErr w:type="spellEnd"/>
      <w:r w:rsidRPr="00DD54CF">
        <w:rPr>
          <w:rFonts w:ascii="Arial" w:eastAsiaTheme="majorEastAsia" w:hAnsi="Arial" w:cs="Arial"/>
          <w:spacing w:val="-10"/>
          <w:kern w:val="28"/>
        </w:rPr>
        <w:t xml:space="preserve">. Het fonds bevat duizenden bedrijven uit verschillende regio’s en heeft lage kosten. </w:t>
      </w:r>
      <w:proofErr w:type="spellStart"/>
      <w:r w:rsidRPr="00DD54CF">
        <w:rPr>
          <w:rFonts w:ascii="Arial" w:eastAsiaTheme="majorEastAsia" w:hAnsi="Arial" w:cs="Arial"/>
          <w:spacing w:val="-10"/>
          <w:kern w:val="28"/>
        </w:rPr>
        <w:t>Vanguard</w:t>
      </w:r>
      <w:proofErr w:type="spellEnd"/>
      <w:r w:rsidRPr="00DD54CF">
        <w:rPr>
          <w:rFonts w:ascii="Arial" w:eastAsiaTheme="majorEastAsia" w:hAnsi="Arial" w:cs="Arial"/>
          <w:spacing w:val="-10"/>
          <w:kern w:val="28"/>
        </w:rPr>
        <w:t xml:space="preserve"> staat bekend om </w:t>
      </w:r>
      <w:r w:rsidRPr="00DD54CF">
        <w:rPr>
          <w:rFonts w:ascii="Arial" w:eastAsiaTheme="majorEastAsia" w:hAnsi="Arial" w:cs="Arial"/>
          <w:spacing w:val="-10"/>
          <w:kern w:val="28"/>
        </w:rPr>
        <w:lastRenderedPageBreak/>
        <w:t>simpele en duidelijke informatie (</w:t>
      </w:r>
      <w:proofErr w:type="spellStart"/>
      <w:r w:rsidRPr="00DD54CF">
        <w:rPr>
          <w:rFonts w:ascii="Arial" w:eastAsiaTheme="majorEastAsia" w:hAnsi="Arial" w:cs="Arial"/>
          <w:spacing w:val="-10"/>
          <w:kern w:val="28"/>
        </w:rPr>
        <w:t>Vanguard</w:t>
      </w:r>
      <w:proofErr w:type="spellEnd"/>
      <w:r w:rsidRPr="00DD54CF">
        <w:rPr>
          <w:rFonts w:ascii="Arial" w:eastAsiaTheme="majorEastAsia" w:hAnsi="Arial" w:cs="Arial"/>
          <w:spacing w:val="-10"/>
          <w:kern w:val="28"/>
        </w:rPr>
        <w:t>, 2024). Het fonds geeft een breed beeld van de wereldwijde aandelenmarkt, maar dan met duurzame uitsluitingen.</w:t>
      </w:r>
    </w:p>
    <w:p w14:paraId="39CB3918"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proofErr w:type="spellStart"/>
      <w:r w:rsidRPr="00DD54CF">
        <w:rPr>
          <w:rFonts w:ascii="Arial" w:eastAsiaTheme="majorEastAsia" w:hAnsi="Arial" w:cs="Arial"/>
          <w:spacing w:val="-10"/>
          <w:kern w:val="28"/>
        </w:rPr>
        <w:t>Fidelity</w:t>
      </w:r>
      <w:proofErr w:type="spellEnd"/>
      <w:r w:rsidRPr="00DD54CF">
        <w:rPr>
          <w:rFonts w:ascii="Arial" w:eastAsiaTheme="majorEastAsia" w:hAnsi="Arial" w:cs="Arial"/>
          <w:spacing w:val="-10"/>
          <w:kern w:val="28"/>
        </w:rPr>
        <w:t xml:space="preserve"> </w:t>
      </w:r>
      <w:proofErr w:type="spellStart"/>
      <w:r w:rsidRPr="00DD54CF">
        <w:rPr>
          <w:rFonts w:ascii="Arial" w:eastAsiaTheme="majorEastAsia" w:hAnsi="Arial" w:cs="Arial"/>
          <w:spacing w:val="-10"/>
          <w:kern w:val="28"/>
        </w:rPr>
        <w:t>Sustainable</w:t>
      </w:r>
      <w:proofErr w:type="spellEnd"/>
      <w:r w:rsidRPr="00DD54CF">
        <w:rPr>
          <w:rFonts w:ascii="Arial" w:eastAsiaTheme="majorEastAsia" w:hAnsi="Arial" w:cs="Arial"/>
          <w:spacing w:val="-10"/>
          <w:kern w:val="28"/>
        </w:rPr>
        <w:t xml:space="preserve"> Global </w:t>
      </w:r>
      <w:proofErr w:type="spellStart"/>
      <w:r w:rsidRPr="00DD54CF">
        <w:rPr>
          <w:rFonts w:ascii="Arial" w:eastAsiaTheme="majorEastAsia" w:hAnsi="Arial" w:cs="Arial"/>
          <w:spacing w:val="-10"/>
          <w:kern w:val="28"/>
        </w:rPr>
        <w:t>Equity</w:t>
      </w:r>
      <w:proofErr w:type="spellEnd"/>
      <w:r w:rsidRPr="00DD54CF">
        <w:rPr>
          <w:rFonts w:ascii="Arial" w:eastAsiaTheme="majorEastAsia" w:hAnsi="Arial" w:cs="Arial"/>
          <w:spacing w:val="-10"/>
          <w:kern w:val="28"/>
        </w:rPr>
        <w:t xml:space="preserve"> Fund</w:t>
      </w:r>
    </w:p>
    <w:p w14:paraId="445A18B9"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 xml:space="preserve">Dit is een actief beheerd fonds dat wereldwijd belegt in bedrijven die voldoen aan de ESG-criteria van </w:t>
      </w:r>
      <w:proofErr w:type="spellStart"/>
      <w:r w:rsidRPr="00DD54CF">
        <w:rPr>
          <w:rFonts w:ascii="Arial" w:eastAsiaTheme="majorEastAsia" w:hAnsi="Arial" w:cs="Arial"/>
          <w:spacing w:val="-10"/>
          <w:kern w:val="28"/>
        </w:rPr>
        <w:t>Fidelity</w:t>
      </w:r>
      <w:proofErr w:type="spellEnd"/>
      <w:r w:rsidRPr="00DD54CF">
        <w:rPr>
          <w:rFonts w:ascii="Arial" w:eastAsiaTheme="majorEastAsia" w:hAnsi="Arial" w:cs="Arial"/>
          <w:spacing w:val="-10"/>
          <w:kern w:val="28"/>
        </w:rPr>
        <w:t>. De selectie richt zich op bedrijven met sterke financiële basis en een geloofwaardige duurzame strategie. De informatie is uitgebreid en soms technisch (</w:t>
      </w:r>
      <w:proofErr w:type="spellStart"/>
      <w:r w:rsidRPr="00DD54CF">
        <w:rPr>
          <w:rFonts w:ascii="Arial" w:eastAsiaTheme="majorEastAsia" w:hAnsi="Arial" w:cs="Arial"/>
          <w:spacing w:val="-10"/>
          <w:kern w:val="28"/>
        </w:rPr>
        <w:t>Fidelity</w:t>
      </w:r>
      <w:proofErr w:type="spellEnd"/>
      <w:r w:rsidRPr="00DD54CF">
        <w:rPr>
          <w:rFonts w:ascii="Arial" w:eastAsiaTheme="majorEastAsia" w:hAnsi="Arial" w:cs="Arial"/>
          <w:spacing w:val="-10"/>
          <w:kern w:val="28"/>
        </w:rPr>
        <w:t xml:space="preserve"> </w:t>
      </w:r>
      <w:proofErr w:type="spellStart"/>
      <w:r w:rsidRPr="00DD54CF">
        <w:rPr>
          <w:rFonts w:ascii="Arial" w:eastAsiaTheme="majorEastAsia" w:hAnsi="Arial" w:cs="Arial"/>
          <w:spacing w:val="-10"/>
          <w:kern w:val="28"/>
        </w:rPr>
        <w:t>Investments</w:t>
      </w:r>
      <w:proofErr w:type="spellEnd"/>
      <w:r w:rsidRPr="00DD54CF">
        <w:rPr>
          <w:rFonts w:ascii="Arial" w:eastAsiaTheme="majorEastAsia" w:hAnsi="Arial" w:cs="Arial"/>
          <w:spacing w:val="-10"/>
          <w:kern w:val="28"/>
        </w:rPr>
        <w:t>, 2024). Het fonds combineert actief beheer met duidelijke duurzame filters.</w:t>
      </w:r>
    </w:p>
    <w:p w14:paraId="4F73443A" w14:textId="77777777" w:rsidR="00161DE2" w:rsidRPr="00DD54CF" w:rsidRDefault="00161DE2" w:rsidP="00161DE2">
      <w:pPr>
        <w:spacing w:before="100" w:beforeAutospacing="1" w:after="100" w:afterAutospacing="1"/>
        <w:ind w:left="720"/>
        <w:rPr>
          <w:rFonts w:ascii="Arial" w:eastAsiaTheme="majorEastAsia" w:hAnsi="Arial" w:cs="Arial"/>
          <w:b/>
          <w:bCs/>
          <w:spacing w:val="-10"/>
          <w:kern w:val="28"/>
        </w:rPr>
      </w:pPr>
      <w:r w:rsidRPr="00DD54CF">
        <w:rPr>
          <w:rFonts w:ascii="Arial" w:eastAsiaTheme="majorEastAsia" w:hAnsi="Arial" w:cs="Arial"/>
          <w:b/>
          <w:bCs/>
          <w:spacing w:val="-10"/>
          <w:kern w:val="28"/>
        </w:rPr>
        <w:t>1. Communicatie van de strategie (10 procent)</w:t>
      </w:r>
    </w:p>
    <w:p w14:paraId="140D48CE"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proofErr w:type="spellStart"/>
      <w:r w:rsidRPr="00DD54CF">
        <w:rPr>
          <w:rFonts w:ascii="Arial" w:eastAsiaTheme="majorEastAsia" w:hAnsi="Arial" w:cs="Arial"/>
          <w:spacing w:val="-10"/>
          <w:kern w:val="28"/>
        </w:rPr>
        <w:t>JPMorgan</w:t>
      </w:r>
      <w:proofErr w:type="spellEnd"/>
    </w:p>
    <w:p w14:paraId="5CAEB13E"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proofErr w:type="spellStart"/>
      <w:r w:rsidRPr="00DD54CF">
        <w:rPr>
          <w:rFonts w:ascii="Arial" w:eastAsiaTheme="majorEastAsia" w:hAnsi="Arial" w:cs="Arial"/>
          <w:spacing w:val="-10"/>
          <w:kern w:val="28"/>
        </w:rPr>
        <w:t>JPMorgan</w:t>
      </w:r>
      <w:proofErr w:type="spellEnd"/>
      <w:r w:rsidRPr="00DD54CF">
        <w:rPr>
          <w:rFonts w:ascii="Arial" w:eastAsiaTheme="majorEastAsia" w:hAnsi="Arial" w:cs="Arial"/>
          <w:spacing w:val="-10"/>
          <w:kern w:val="28"/>
        </w:rPr>
        <w:t xml:space="preserve"> legt stap voor stap uit hoe zij aandelen selecteren op basis van duurzame criteria. Ze tonen sectorwegingen, regionale spreiding en belangrijkste posities. De </w:t>
      </w:r>
      <w:proofErr w:type="spellStart"/>
      <w:r w:rsidRPr="00DD54CF">
        <w:rPr>
          <w:rFonts w:ascii="Arial" w:eastAsiaTheme="majorEastAsia" w:hAnsi="Arial" w:cs="Arial"/>
          <w:spacing w:val="-10"/>
          <w:kern w:val="28"/>
        </w:rPr>
        <w:t>factsheets</w:t>
      </w:r>
      <w:proofErr w:type="spellEnd"/>
      <w:r w:rsidRPr="00DD54CF">
        <w:rPr>
          <w:rFonts w:ascii="Arial" w:eastAsiaTheme="majorEastAsia" w:hAnsi="Arial" w:cs="Arial"/>
          <w:spacing w:val="-10"/>
          <w:kern w:val="28"/>
        </w:rPr>
        <w:t xml:space="preserve"> bevatten duidelijke visuele samenvattingen die klanten snel begrijpen.</w:t>
      </w:r>
    </w:p>
    <w:p w14:paraId="34D29062"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Score: 8</w:t>
      </w:r>
    </w:p>
    <w:p w14:paraId="0CF9D8EB"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proofErr w:type="spellStart"/>
      <w:r w:rsidRPr="00DD54CF">
        <w:rPr>
          <w:rFonts w:ascii="Arial" w:eastAsiaTheme="majorEastAsia" w:hAnsi="Arial" w:cs="Arial"/>
          <w:spacing w:val="-10"/>
          <w:kern w:val="28"/>
        </w:rPr>
        <w:t>Vanguard</w:t>
      </w:r>
      <w:proofErr w:type="spellEnd"/>
    </w:p>
    <w:p w14:paraId="680376A0"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proofErr w:type="spellStart"/>
      <w:r w:rsidRPr="00DD54CF">
        <w:rPr>
          <w:rFonts w:ascii="Arial" w:eastAsiaTheme="majorEastAsia" w:hAnsi="Arial" w:cs="Arial"/>
          <w:spacing w:val="-10"/>
          <w:kern w:val="28"/>
        </w:rPr>
        <w:t>Vanguard</w:t>
      </w:r>
      <w:proofErr w:type="spellEnd"/>
      <w:r w:rsidRPr="00DD54CF">
        <w:rPr>
          <w:rFonts w:ascii="Arial" w:eastAsiaTheme="majorEastAsia" w:hAnsi="Arial" w:cs="Arial"/>
          <w:spacing w:val="-10"/>
          <w:kern w:val="28"/>
        </w:rPr>
        <w:t xml:space="preserve"> communiceert kort en helder. Ze leggen uit dat het fonds een wereldwijde ESG-index volgt. Voor klanten zonder ervaring blijft een index minder concreet, omdat er weinig actieve beslissingen worden genomen.</w:t>
      </w:r>
    </w:p>
    <w:p w14:paraId="67EACE5C"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Score: 7</w:t>
      </w:r>
    </w:p>
    <w:p w14:paraId="35FB9164"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proofErr w:type="spellStart"/>
      <w:r w:rsidRPr="00DD54CF">
        <w:rPr>
          <w:rFonts w:ascii="Arial" w:eastAsiaTheme="majorEastAsia" w:hAnsi="Arial" w:cs="Arial"/>
          <w:spacing w:val="-10"/>
          <w:kern w:val="28"/>
        </w:rPr>
        <w:t>Fidelity</w:t>
      </w:r>
      <w:proofErr w:type="spellEnd"/>
    </w:p>
    <w:p w14:paraId="0F05675F"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proofErr w:type="spellStart"/>
      <w:r w:rsidRPr="00DD54CF">
        <w:rPr>
          <w:rFonts w:ascii="Arial" w:eastAsiaTheme="majorEastAsia" w:hAnsi="Arial" w:cs="Arial"/>
          <w:spacing w:val="-10"/>
          <w:kern w:val="28"/>
        </w:rPr>
        <w:t>Fidelity</w:t>
      </w:r>
      <w:proofErr w:type="spellEnd"/>
      <w:r w:rsidRPr="00DD54CF">
        <w:rPr>
          <w:rFonts w:ascii="Arial" w:eastAsiaTheme="majorEastAsia" w:hAnsi="Arial" w:cs="Arial"/>
          <w:spacing w:val="-10"/>
          <w:kern w:val="28"/>
        </w:rPr>
        <w:t xml:space="preserve"> geeft uitgebreide analyses en ESG-scores. Dit is nuttig voor gevorderde beleggers, maar minder toegankelijk voor beginners.</w:t>
      </w:r>
    </w:p>
    <w:p w14:paraId="5D5B6A45"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Score: 7</w:t>
      </w:r>
    </w:p>
    <w:p w14:paraId="1708D334" w14:textId="77777777" w:rsidR="00161DE2" w:rsidRPr="00DD54CF" w:rsidRDefault="00161DE2" w:rsidP="00161DE2">
      <w:pPr>
        <w:spacing w:before="100" w:beforeAutospacing="1" w:after="100" w:afterAutospacing="1"/>
        <w:ind w:left="720"/>
        <w:rPr>
          <w:rFonts w:ascii="Arial" w:eastAsiaTheme="majorEastAsia" w:hAnsi="Arial" w:cs="Arial"/>
          <w:b/>
          <w:bCs/>
          <w:spacing w:val="-10"/>
          <w:kern w:val="28"/>
        </w:rPr>
      </w:pPr>
      <w:r w:rsidRPr="00DD54CF">
        <w:rPr>
          <w:rFonts w:ascii="Arial" w:eastAsiaTheme="majorEastAsia" w:hAnsi="Arial" w:cs="Arial"/>
          <w:b/>
          <w:bCs/>
          <w:spacing w:val="-10"/>
          <w:kern w:val="28"/>
        </w:rPr>
        <w:t>2. Risico en rendement (25 procent)</w:t>
      </w:r>
    </w:p>
    <w:p w14:paraId="489B2837"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proofErr w:type="spellStart"/>
      <w:r w:rsidRPr="00DD54CF">
        <w:rPr>
          <w:rFonts w:ascii="Arial" w:eastAsiaTheme="majorEastAsia" w:hAnsi="Arial" w:cs="Arial"/>
          <w:spacing w:val="-10"/>
          <w:kern w:val="28"/>
        </w:rPr>
        <w:t>JPMorgan</w:t>
      </w:r>
      <w:proofErr w:type="spellEnd"/>
    </w:p>
    <w:p w14:paraId="036293E9"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proofErr w:type="spellStart"/>
      <w:r w:rsidRPr="00DD54CF">
        <w:rPr>
          <w:rFonts w:ascii="Arial" w:eastAsiaTheme="majorEastAsia" w:hAnsi="Arial" w:cs="Arial"/>
          <w:spacing w:val="-10"/>
          <w:kern w:val="28"/>
        </w:rPr>
        <w:t>Morningstar</w:t>
      </w:r>
      <w:proofErr w:type="spellEnd"/>
      <w:r w:rsidRPr="00DD54CF">
        <w:rPr>
          <w:rFonts w:ascii="Arial" w:eastAsiaTheme="majorEastAsia" w:hAnsi="Arial" w:cs="Arial"/>
          <w:spacing w:val="-10"/>
          <w:kern w:val="28"/>
        </w:rPr>
        <w:t xml:space="preserve"> (2024) laat zien dat dit fonds vooral in groeijaren sterk presteert. De volatiliteit ligt rond de 14 tot 16 procent. De combinatie van ESG-screening en actieve selectie kan extra rendement opleveren wanneer markten positief zijn.</w:t>
      </w:r>
    </w:p>
    <w:p w14:paraId="77D10185"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Score: 8</w:t>
      </w:r>
    </w:p>
    <w:p w14:paraId="28344E25"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proofErr w:type="spellStart"/>
      <w:r w:rsidRPr="00DD54CF">
        <w:rPr>
          <w:rFonts w:ascii="Arial" w:eastAsiaTheme="majorEastAsia" w:hAnsi="Arial" w:cs="Arial"/>
          <w:spacing w:val="-10"/>
          <w:kern w:val="28"/>
        </w:rPr>
        <w:lastRenderedPageBreak/>
        <w:t>Vanguard</w:t>
      </w:r>
      <w:proofErr w:type="spellEnd"/>
    </w:p>
    <w:p w14:paraId="79A69A9C"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Omdat dit fonds een brede wereldindex volgt, ligt het langjarig rendement rond de 8 procent. De volatiliteit ligt rond de 13 procent. Door brede spreiding en duurzame uitsluitingen blijft het neerwaartse risico beperkt.</w:t>
      </w:r>
    </w:p>
    <w:p w14:paraId="07864338"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Score: 8</w:t>
      </w:r>
    </w:p>
    <w:p w14:paraId="44CD683A"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proofErr w:type="spellStart"/>
      <w:r w:rsidRPr="00DD54CF">
        <w:rPr>
          <w:rFonts w:ascii="Arial" w:eastAsiaTheme="majorEastAsia" w:hAnsi="Arial" w:cs="Arial"/>
          <w:spacing w:val="-10"/>
          <w:kern w:val="28"/>
        </w:rPr>
        <w:t>Fidelity</w:t>
      </w:r>
      <w:proofErr w:type="spellEnd"/>
    </w:p>
    <w:p w14:paraId="17244B58"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De prestaties variëren meer. In stabiele markten ligt het rendement dicht bij het marktgemiddelde, maar in onzekere perioden presteert het fonds wisselvalliger. De volatiliteit ligt rond de 15 procent.</w:t>
      </w:r>
    </w:p>
    <w:p w14:paraId="666B3360"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Score: 7</w:t>
      </w:r>
    </w:p>
    <w:p w14:paraId="399EE3DC" w14:textId="77777777" w:rsidR="00161DE2" w:rsidRPr="00DD54CF" w:rsidRDefault="00161DE2" w:rsidP="00161DE2">
      <w:pPr>
        <w:spacing w:before="100" w:beforeAutospacing="1" w:after="100" w:afterAutospacing="1"/>
        <w:ind w:left="720"/>
        <w:rPr>
          <w:rFonts w:ascii="Arial" w:eastAsiaTheme="majorEastAsia" w:hAnsi="Arial" w:cs="Arial"/>
          <w:b/>
          <w:bCs/>
          <w:spacing w:val="-10"/>
          <w:kern w:val="28"/>
        </w:rPr>
      </w:pPr>
      <w:r w:rsidRPr="00DD54CF">
        <w:rPr>
          <w:rFonts w:ascii="Arial" w:eastAsiaTheme="majorEastAsia" w:hAnsi="Arial" w:cs="Arial"/>
          <w:b/>
          <w:bCs/>
          <w:spacing w:val="-10"/>
          <w:kern w:val="28"/>
        </w:rPr>
        <w:t>3. Kosten (15 procent)</w:t>
      </w:r>
    </w:p>
    <w:p w14:paraId="1F983DAC"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proofErr w:type="spellStart"/>
      <w:r w:rsidRPr="00DD54CF">
        <w:rPr>
          <w:rFonts w:ascii="Arial" w:eastAsiaTheme="majorEastAsia" w:hAnsi="Arial" w:cs="Arial"/>
          <w:spacing w:val="-10"/>
          <w:kern w:val="28"/>
        </w:rPr>
        <w:t>JPMorgan</w:t>
      </w:r>
      <w:proofErr w:type="spellEnd"/>
    </w:p>
    <w:p w14:paraId="2E82C5A7"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De kosten liggen rond de 1 procent per jaar door actief en duurzaam beheer.</w:t>
      </w:r>
    </w:p>
    <w:p w14:paraId="69E56D29"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Score: 6</w:t>
      </w:r>
    </w:p>
    <w:p w14:paraId="2199A167"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proofErr w:type="spellStart"/>
      <w:r w:rsidRPr="00DD54CF">
        <w:rPr>
          <w:rFonts w:ascii="Arial" w:eastAsiaTheme="majorEastAsia" w:hAnsi="Arial" w:cs="Arial"/>
          <w:spacing w:val="-10"/>
          <w:kern w:val="28"/>
        </w:rPr>
        <w:t>Vanguard</w:t>
      </w:r>
      <w:proofErr w:type="spellEnd"/>
    </w:p>
    <w:p w14:paraId="1DD1A84A"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De kosten liggen rond 0,24 procent per jaar (</w:t>
      </w:r>
      <w:proofErr w:type="spellStart"/>
      <w:r w:rsidRPr="00DD54CF">
        <w:rPr>
          <w:rFonts w:ascii="Arial" w:eastAsiaTheme="majorEastAsia" w:hAnsi="Arial" w:cs="Arial"/>
          <w:spacing w:val="-10"/>
          <w:kern w:val="28"/>
        </w:rPr>
        <w:t>Vanguard</w:t>
      </w:r>
      <w:proofErr w:type="spellEnd"/>
      <w:r w:rsidRPr="00DD54CF">
        <w:rPr>
          <w:rFonts w:ascii="Arial" w:eastAsiaTheme="majorEastAsia" w:hAnsi="Arial" w:cs="Arial"/>
          <w:spacing w:val="-10"/>
          <w:kern w:val="28"/>
        </w:rPr>
        <w:t>, 2024). Dit is laag en aantrekkelijk voor lange termijn beleggen.</w:t>
      </w:r>
    </w:p>
    <w:p w14:paraId="0F31D762"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Score: 10</w:t>
      </w:r>
    </w:p>
    <w:p w14:paraId="06207C6F"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proofErr w:type="spellStart"/>
      <w:r w:rsidRPr="00DD54CF">
        <w:rPr>
          <w:rFonts w:ascii="Arial" w:eastAsiaTheme="majorEastAsia" w:hAnsi="Arial" w:cs="Arial"/>
          <w:spacing w:val="-10"/>
          <w:kern w:val="28"/>
        </w:rPr>
        <w:t>Fidelity</w:t>
      </w:r>
      <w:proofErr w:type="spellEnd"/>
    </w:p>
    <w:p w14:paraId="275259C9"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De kosten liggen rond 0,90 procent per jaar.</w:t>
      </w:r>
    </w:p>
    <w:p w14:paraId="1D4B34FC"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Score: 7</w:t>
      </w:r>
    </w:p>
    <w:p w14:paraId="693C6D87" w14:textId="77777777" w:rsidR="00161DE2" w:rsidRPr="00DD54CF" w:rsidRDefault="00161DE2" w:rsidP="00161DE2">
      <w:pPr>
        <w:spacing w:before="100" w:beforeAutospacing="1" w:after="100" w:afterAutospacing="1"/>
        <w:ind w:left="720"/>
        <w:rPr>
          <w:rFonts w:ascii="Arial" w:eastAsiaTheme="majorEastAsia" w:hAnsi="Arial" w:cs="Arial"/>
          <w:b/>
          <w:bCs/>
          <w:spacing w:val="-10"/>
          <w:kern w:val="28"/>
        </w:rPr>
      </w:pPr>
      <w:r w:rsidRPr="00DD54CF">
        <w:rPr>
          <w:rFonts w:ascii="Arial" w:eastAsiaTheme="majorEastAsia" w:hAnsi="Arial" w:cs="Arial"/>
          <w:b/>
          <w:bCs/>
          <w:spacing w:val="-10"/>
          <w:kern w:val="28"/>
        </w:rPr>
        <w:t>4. Aansluiting op onze strategie (30 procent)</w:t>
      </w:r>
    </w:p>
    <w:p w14:paraId="4E42C6E8"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Onze strategie richt zich op:</w:t>
      </w:r>
    </w:p>
    <w:p w14:paraId="72D59D93"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 wereldwijd beleggen</w:t>
      </w:r>
    </w:p>
    <w:p w14:paraId="080B14CE"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 duurzame selectie (ESG)</w:t>
      </w:r>
    </w:p>
    <w:p w14:paraId="2C29D4D1"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 eenvoudige uitleg voor klanten</w:t>
      </w:r>
    </w:p>
    <w:p w14:paraId="5BD60F52"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lastRenderedPageBreak/>
        <w:t>• geschikt voor brede doelgroep</w:t>
      </w:r>
    </w:p>
    <w:p w14:paraId="3E169BE0"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proofErr w:type="spellStart"/>
      <w:r w:rsidRPr="00DD54CF">
        <w:rPr>
          <w:rFonts w:ascii="Arial" w:eastAsiaTheme="majorEastAsia" w:hAnsi="Arial" w:cs="Arial"/>
          <w:spacing w:val="-10"/>
          <w:kern w:val="28"/>
        </w:rPr>
        <w:t>JPMorgan</w:t>
      </w:r>
      <w:proofErr w:type="spellEnd"/>
    </w:p>
    <w:p w14:paraId="0466A71C"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Dit fonds sluit het beste aan. De actieve keuzes en duidelijke uitleg helpen bij adviesgesprekken. De duurzame filters passen bij een moderne beleggingspropositie.</w:t>
      </w:r>
    </w:p>
    <w:p w14:paraId="7125A2A1"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Score: 9</w:t>
      </w:r>
    </w:p>
    <w:p w14:paraId="4BDCE2F0"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proofErr w:type="spellStart"/>
      <w:r w:rsidRPr="00DD54CF">
        <w:rPr>
          <w:rFonts w:ascii="Arial" w:eastAsiaTheme="majorEastAsia" w:hAnsi="Arial" w:cs="Arial"/>
          <w:spacing w:val="-10"/>
          <w:kern w:val="28"/>
        </w:rPr>
        <w:t>Vanguard</w:t>
      </w:r>
      <w:proofErr w:type="spellEnd"/>
    </w:p>
    <w:p w14:paraId="73FAF31E"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De aanpak is goedkoop en voorspelbaar. Voor klanten die eenvoud zoeken past dit fonds goed. De duurzame uitsluitingen zijn duidelijk uit te leggen.</w:t>
      </w:r>
    </w:p>
    <w:p w14:paraId="7D4DAF3F"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Score: 7</w:t>
      </w:r>
    </w:p>
    <w:p w14:paraId="2848ECB7"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proofErr w:type="spellStart"/>
      <w:r w:rsidRPr="00DD54CF">
        <w:rPr>
          <w:rFonts w:ascii="Arial" w:eastAsiaTheme="majorEastAsia" w:hAnsi="Arial" w:cs="Arial"/>
          <w:spacing w:val="-10"/>
          <w:kern w:val="28"/>
        </w:rPr>
        <w:t>Fidelity</w:t>
      </w:r>
      <w:proofErr w:type="spellEnd"/>
    </w:p>
    <w:p w14:paraId="10ADE075"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De duurzame aanpak is logisch, maar minder makkelijk te vertalen naar korte en eenvoudige klantuitleg.</w:t>
      </w:r>
    </w:p>
    <w:p w14:paraId="79888FEA"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Score: 7</w:t>
      </w:r>
    </w:p>
    <w:p w14:paraId="0705F2AE" w14:textId="77777777" w:rsidR="00161DE2" w:rsidRPr="00DD54CF" w:rsidRDefault="00161DE2" w:rsidP="00161DE2">
      <w:pPr>
        <w:spacing w:before="100" w:beforeAutospacing="1" w:after="100" w:afterAutospacing="1"/>
        <w:ind w:left="720"/>
        <w:rPr>
          <w:rFonts w:ascii="Arial" w:eastAsiaTheme="majorEastAsia" w:hAnsi="Arial" w:cs="Arial"/>
          <w:b/>
          <w:bCs/>
          <w:spacing w:val="-10"/>
          <w:kern w:val="28"/>
        </w:rPr>
      </w:pPr>
      <w:r w:rsidRPr="00DD54CF">
        <w:rPr>
          <w:rFonts w:ascii="Arial" w:eastAsiaTheme="majorEastAsia" w:hAnsi="Arial" w:cs="Arial"/>
          <w:b/>
          <w:bCs/>
          <w:spacing w:val="-10"/>
          <w:kern w:val="28"/>
        </w:rPr>
        <w:t>5. Risico-informatie (10 procent)</w:t>
      </w:r>
    </w:p>
    <w:p w14:paraId="0A3BBBA1"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proofErr w:type="spellStart"/>
      <w:r w:rsidRPr="00DD54CF">
        <w:rPr>
          <w:rFonts w:ascii="Arial" w:eastAsiaTheme="majorEastAsia" w:hAnsi="Arial" w:cs="Arial"/>
          <w:spacing w:val="-10"/>
          <w:kern w:val="28"/>
        </w:rPr>
        <w:t>JPMorgan</w:t>
      </w:r>
      <w:proofErr w:type="spellEnd"/>
    </w:p>
    <w:p w14:paraId="3099CEBB"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Geeft duidelijke uitleg over onder andere markt-, valuta- en concentratierisico’s. Dit helpt in adviesgesprekken (</w:t>
      </w:r>
      <w:proofErr w:type="spellStart"/>
      <w:r w:rsidRPr="00DD54CF">
        <w:rPr>
          <w:rFonts w:ascii="Arial" w:eastAsiaTheme="majorEastAsia" w:hAnsi="Arial" w:cs="Arial"/>
          <w:spacing w:val="-10"/>
          <w:kern w:val="28"/>
        </w:rPr>
        <w:t>JPMorgan</w:t>
      </w:r>
      <w:proofErr w:type="spellEnd"/>
      <w:r w:rsidRPr="00DD54CF">
        <w:rPr>
          <w:rFonts w:ascii="Arial" w:eastAsiaTheme="majorEastAsia" w:hAnsi="Arial" w:cs="Arial"/>
          <w:spacing w:val="-10"/>
          <w:kern w:val="28"/>
        </w:rPr>
        <w:t>, 2024).</w:t>
      </w:r>
    </w:p>
    <w:p w14:paraId="179C9B1A"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Score: 8</w:t>
      </w:r>
    </w:p>
    <w:p w14:paraId="6DF6ECA4"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proofErr w:type="spellStart"/>
      <w:r w:rsidRPr="00DD54CF">
        <w:rPr>
          <w:rFonts w:ascii="Arial" w:eastAsiaTheme="majorEastAsia" w:hAnsi="Arial" w:cs="Arial"/>
          <w:spacing w:val="-10"/>
          <w:kern w:val="28"/>
        </w:rPr>
        <w:t>Vanguard</w:t>
      </w:r>
      <w:proofErr w:type="spellEnd"/>
    </w:p>
    <w:p w14:paraId="34E13242"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 xml:space="preserve">Toont risico’s kort en overzichtelijk. Ze geven inzicht in volatiliteit en tracking </w:t>
      </w:r>
      <w:proofErr w:type="spellStart"/>
      <w:r w:rsidRPr="00DD54CF">
        <w:rPr>
          <w:rFonts w:ascii="Arial" w:eastAsiaTheme="majorEastAsia" w:hAnsi="Arial" w:cs="Arial"/>
          <w:spacing w:val="-10"/>
          <w:kern w:val="28"/>
        </w:rPr>
        <w:t>difference</w:t>
      </w:r>
      <w:proofErr w:type="spellEnd"/>
      <w:r w:rsidRPr="00DD54CF">
        <w:rPr>
          <w:rFonts w:ascii="Arial" w:eastAsiaTheme="majorEastAsia" w:hAnsi="Arial" w:cs="Arial"/>
          <w:spacing w:val="-10"/>
          <w:kern w:val="28"/>
        </w:rPr>
        <w:t>.</w:t>
      </w:r>
    </w:p>
    <w:p w14:paraId="3E51F05C"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Score: 8</w:t>
      </w:r>
    </w:p>
    <w:p w14:paraId="687EBFDA"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proofErr w:type="spellStart"/>
      <w:r w:rsidRPr="00DD54CF">
        <w:rPr>
          <w:rFonts w:ascii="Arial" w:eastAsiaTheme="majorEastAsia" w:hAnsi="Arial" w:cs="Arial"/>
          <w:spacing w:val="-10"/>
          <w:kern w:val="28"/>
        </w:rPr>
        <w:t>Fidelity</w:t>
      </w:r>
      <w:proofErr w:type="spellEnd"/>
    </w:p>
    <w:p w14:paraId="61930481"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Geeft veel gegevens, maar de uitleg is technisch.</w:t>
      </w:r>
    </w:p>
    <w:p w14:paraId="6020C1CC"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Score: 7</w:t>
      </w:r>
    </w:p>
    <w:p w14:paraId="63B78F64" w14:textId="77777777" w:rsidR="00161DE2" w:rsidRPr="00DD54CF" w:rsidRDefault="00161DE2" w:rsidP="00161DE2">
      <w:pPr>
        <w:spacing w:before="100" w:beforeAutospacing="1" w:after="100" w:afterAutospacing="1"/>
        <w:ind w:left="720"/>
        <w:rPr>
          <w:rFonts w:ascii="Arial" w:eastAsiaTheme="majorEastAsia" w:hAnsi="Arial" w:cs="Arial"/>
          <w:b/>
          <w:bCs/>
          <w:spacing w:val="-10"/>
          <w:kern w:val="28"/>
        </w:rPr>
      </w:pPr>
      <w:r w:rsidRPr="00DD54CF">
        <w:rPr>
          <w:rFonts w:ascii="Arial" w:eastAsiaTheme="majorEastAsia" w:hAnsi="Arial" w:cs="Arial"/>
          <w:b/>
          <w:bCs/>
          <w:spacing w:val="-10"/>
          <w:kern w:val="28"/>
        </w:rPr>
        <w:t>6. Klantcommunicatie (10 procent)</w:t>
      </w:r>
    </w:p>
    <w:p w14:paraId="1404D8D5"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proofErr w:type="spellStart"/>
      <w:r w:rsidRPr="00DD54CF">
        <w:rPr>
          <w:rFonts w:ascii="Arial" w:eastAsiaTheme="majorEastAsia" w:hAnsi="Arial" w:cs="Arial"/>
          <w:spacing w:val="-10"/>
          <w:kern w:val="28"/>
        </w:rPr>
        <w:lastRenderedPageBreak/>
        <w:t>JPMorgan</w:t>
      </w:r>
      <w:proofErr w:type="spellEnd"/>
    </w:p>
    <w:p w14:paraId="18FF0D44"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Duidelijke uitleg, veel grafieken en heldere toelichting. Klanten kunnen snel zien wat het fonds doet.</w:t>
      </w:r>
    </w:p>
    <w:p w14:paraId="0BACB1CA"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Score: 9</w:t>
      </w:r>
    </w:p>
    <w:p w14:paraId="7B2D3BD1"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proofErr w:type="spellStart"/>
      <w:r w:rsidRPr="00DD54CF">
        <w:rPr>
          <w:rFonts w:ascii="Arial" w:eastAsiaTheme="majorEastAsia" w:hAnsi="Arial" w:cs="Arial"/>
          <w:spacing w:val="-10"/>
          <w:kern w:val="28"/>
        </w:rPr>
        <w:t>Vanguard</w:t>
      </w:r>
      <w:proofErr w:type="spellEnd"/>
    </w:p>
    <w:p w14:paraId="115CABED"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Simpele en korte uitleg. Prettig voor klanten die snel overzicht willen.</w:t>
      </w:r>
    </w:p>
    <w:p w14:paraId="2B3C6543"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Score: 8</w:t>
      </w:r>
    </w:p>
    <w:p w14:paraId="47057DBA"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proofErr w:type="spellStart"/>
      <w:r w:rsidRPr="00DD54CF">
        <w:rPr>
          <w:rFonts w:ascii="Arial" w:eastAsiaTheme="majorEastAsia" w:hAnsi="Arial" w:cs="Arial"/>
          <w:spacing w:val="-10"/>
          <w:kern w:val="28"/>
        </w:rPr>
        <w:t>Fidelity</w:t>
      </w:r>
      <w:proofErr w:type="spellEnd"/>
    </w:p>
    <w:p w14:paraId="38B51FDD"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Veel informatie, maar minder gericht op beginners. Kan afleiden van de hoofdboodschap.</w:t>
      </w:r>
    </w:p>
    <w:p w14:paraId="17942C37" w14:textId="77777777" w:rsidR="00161DE2" w:rsidRPr="00DD54CF" w:rsidRDefault="00161DE2" w:rsidP="00161DE2">
      <w:pPr>
        <w:spacing w:before="100" w:beforeAutospacing="1" w:after="100" w:afterAutospacing="1"/>
        <w:ind w:left="720"/>
        <w:rPr>
          <w:rFonts w:ascii="Arial" w:eastAsiaTheme="majorEastAsia" w:hAnsi="Arial" w:cs="Arial"/>
          <w:spacing w:val="-10"/>
          <w:kern w:val="28"/>
        </w:rPr>
      </w:pPr>
      <w:r w:rsidRPr="00DD54CF">
        <w:rPr>
          <w:rFonts w:ascii="Arial" w:eastAsiaTheme="majorEastAsia" w:hAnsi="Arial" w:cs="Arial"/>
          <w:spacing w:val="-10"/>
          <w:kern w:val="28"/>
        </w:rPr>
        <w:t>Score: 7</w:t>
      </w:r>
    </w:p>
    <w:p w14:paraId="2A710609" w14:textId="77777777" w:rsidR="00161DE2" w:rsidRPr="00DD54CF" w:rsidRDefault="00161DE2" w:rsidP="00161DE2">
      <w:pPr>
        <w:spacing w:before="100" w:beforeAutospacing="1" w:after="100" w:afterAutospacing="1"/>
        <w:ind w:left="720"/>
        <w:rPr>
          <w:rFonts w:ascii="Arial" w:hAnsi="Arial" w:cs="Arial"/>
          <w:b/>
          <w:bCs/>
          <w:color w:val="000000"/>
        </w:rPr>
      </w:pPr>
      <w:r w:rsidRPr="00DD54CF">
        <w:rPr>
          <w:rFonts w:ascii="Arial" w:eastAsiaTheme="majorEastAsia" w:hAnsi="Arial" w:cs="Arial"/>
          <w:spacing w:val="-10"/>
          <w:kern w:val="28"/>
        </w:rPr>
        <w:t>Beslissing</w:t>
      </w:r>
    </w:p>
    <w:p w14:paraId="4D0148C2" w14:textId="77777777" w:rsidR="00161DE2" w:rsidRDefault="00161DE2" w:rsidP="00161DE2">
      <w:pPr>
        <w:spacing w:before="100" w:beforeAutospacing="1" w:after="100" w:afterAutospacing="1"/>
        <w:ind w:left="720"/>
        <w:rPr>
          <w:rFonts w:ascii="Arial" w:hAnsi="Arial" w:cs="Arial"/>
          <w:b/>
          <w:bCs/>
          <w:color w:val="000000"/>
        </w:rPr>
      </w:pPr>
    </w:p>
    <w:p w14:paraId="45510AE0" w14:textId="77777777" w:rsidR="00161DE2" w:rsidRDefault="00161DE2" w:rsidP="00161DE2">
      <w:pPr>
        <w:spacing w:before="100" w:beforeAutospacing="1" w:after="100" w:afterAutospacing="1"/>
        <w:ind w:left="720"/>
        <w:rPr>
          <w:rFonts w:ascii="Arial" w:hAnsi="Arial" w:cs="Arial"/>
          <w:b/>
          <w:bCs/>
          <w:color w:val="000000"/>
        </w:rPr>
      </w:pPr>
    </w:p>
    <w:p w14:paraId="511B0964" w14:textId="77777777" w:rsidR="00161DE2" w:rsidRDefault="00161DE2" w:rsidP="00161DE2">
      <w:pPr>
        <w:spacing w:before="100" w:beforeAutospacing="1" w:after="100" w:afterAutospacing="1"/>
        <w:ind w:left="720"/>
        <w:rPr>
          <w:rFonts w:ascii="Arial" w:hAnsi="Arial" w:cs="Arial"/>
          <w:b/>
          <w:bCs/>
          <w:color w:val="000000"/>
        </w:rPr>
      </w:pPr>
    </w:p>
    <w:p w14:paraId="15442F40" w14:textId="77777777" w:rsidR="00161DE2" w:rsidRDefault="00161DE2" w:rsidP="00161DE2">
      <w:pPr>
        <w:spacing w:before="100" w:beforeAutospacing="1" w:after="100" w:afterAutospacing="1"/>
        <w:ind w:left="720"/>
        <w:rPr>
          <w:rFonts w:ascii="Arial" w:hAnsi="Arial" w:cs="Arial"/>
          <w:b/>
          <w:bCs/>
          <w:color w:val="000000"/>
        </w:rPr>
      </w:pPr>
    </w:p>
    <w:p w14:paraId="73D56FA1" w14:textId="77777777" w:rsidR="00161DE2" w:rsidRDefault="00161DE2" w:rsidP="00161DE2">
      <w:pPr>
        <w:spacing w:before="100" w:beforeAutospacing="1" w:after="100" w:afterAutospacing="1"/>
        <w:ind w:left="720"/>
        <w:rPr>
          <w:rFonts w:ascii="Arial" w:hAnsi="Arial" w:cs="Arial"/>
          <w:b/>
          <w:bCs/>
          <w:color w:val="000000"/>
        </w:rPr>
      </w:pPr>
    </w:p>
    <w:p w14:paraId="5E287B55" w14:textId="77777777" w:rsidR="00161DE2" w:rsidRDefault="00161DE2" w:rsidP="00161DE2">
      <w:pPr>
        <w:spacing w:before="100" w:beforeAutospacing="1" w:after="100" w:afterAutospacing="1"/>
        <w:ind w:left="720"/>
        <w:rPr>
          <w:rFonts w:ascii="Arial" w:hAnsi="Arial" w:cs="Arial"/>
          <w:b/>
          <w:bCs/>
          <w:color w:val="000000"/>
        </w:rPr>
      </w:pPr>
    </w:p>
    <w:p w14:paraId="521051DB" w14:textId="77777777" w:rsidR="00161DE2" w:rsidRDefault="00161DE2" w:rsidP="00161DE2">
      <w:pPr>
        <w:spacing w:before="100" w:beforeAutospacing="1" w:after="100" w:afterAutospacing="1"/>
        <w:ind w:left="720"/>
        <w:rPr>
          <w:rFonts w:ascii="Arial" w:hAnsi="Arial" w:cs="Arial"/>
          <w:b/>
          <w:bCs/>
          <w:color w:val="000000"/>
        </w:rPr>
      </w:pPr>
    </w:p>
    <w:p w14:paraId="57212090" w14:textId="77777777" w:rsidR="00161DE2" w:rsidRDefault="00161DE2" w:rsidP="00161DE2">
      <w:pPr>
        <w:spacing w:before="100" w:beforeAutospacing="1" w:after="100" w:afterAutospacing="1"/>
        <w:ind w:left="720"/>
        <w:rPr>
          <w:rFonts w:ascii="Arial" w:hAnsi="Arial" w:cs="Arial"/>
          <w:b/>
          <w:bCs/>
          <w:color w:val="000000"/>
        </w:rPr>
      </w:pPr>
    </w:p>
    <w:p w14:paraId="2CEB24A2" w14:textId="77777777" w:rsidR="00161DE2" w:rsidRDefault="00161DE2" w:rsidP="00161DE2">
      <w:pPr>
        <w:spacing w:before="100" w:beforeAutospacing="1" w:after="100" w:afterAutospacing="1"/>
        <w:ind w:left="720"/>
        <w:rPr>
          <w:rFonts w:ascii="Arial" w:hAnsi="Arial" w:cs="Arial"/>
          <w:b/>
          <w:bCs/>
          <w:color w:val="000000"/>
        </w:rPr>
      </w:pPr>
    </w:p>
    <w:p w14:paraId="53E9190B" w14:textId="77777777" w:rsidR="00161DE2" w:rsidRDefault="00161DE2" w:rsidP="00161DE2">
      <w:pPr>
        <w:spacing w:before="100" w:beforeAutospacing="1" w:after="100" w:afterAutospacing="1"/>
        <w:ind w:left="720"/>
        <w:rPr>
          <w:rFonts w:ascii="Arial" w:hAnsi="Arial" w:cs="Arial"/>
          <w:b/>
          <w:bCs/>
          <w:color w:val="000000"/>
        </w:rPr>
      </w:pPr>
    </w:p>
    <w:p w14:paraId="30728BB2" w14:textId="77777777" w:rsidR="00161DE2" w:rsidRDefault="00161DE2" w:rsidP="00161DE2">
      <w:pPr>
        <w:spacing w:before="100" w:beforeAutospacing="1" w:after="100" w:afterAutospacing="1"/>
        <w:ind w:left="720"/>
        <w:rPr>
          <w:rFonts w:ascii="Arial" w:hAnsi="Arial" w:cs="Arial"/>
          <w:b/>
          <w:bCs/>
          <w:color w:val="000000"/>
        </w:rPr>
      </w:pPr>
    </w:p>
    <w:p w14:paraId="3565F731" w14:textId="77777777" w:rsidR="00161DE2" w:rsidRDefault="00161DE2" w:rsidP="00161DE2">
      <w:pPr>
        <w:spacing w:before="100" w:beforeAutospacing="1" w:after="100" w:afterAutospacing="1"/>
        <w:ind w:left="720"/>
        <w:rPr>
          <w:rFonts w:ascii="Arial" w:hAnsi="Arial" w:cs="Arial"/>
          <w:b/>
          <w:bCs/>
          <w:color w:val="000000"/>
        </w:rPr>
      </w:pPr>
    </w:p>
    <w:p w14:paraId="23C8F03D" w14:textId="77777777" w:rsidR="00161DE2" w:rsidRDefault="00161DE2" w:rsidP="00161DE2">
      <w:pPr>
        <w:spacing w:before="100" w:beforeAutospacing="1" w:after="100" w:afterAutospacing="1"/>
        <w:ind w:left="720"/>
        <w:rPr>
          <w:rFonts w:ascii="Arial" w:hAnsi="Arial" w:cs="Arial"/>
          <w:b/>
          <w:bCs/>
          <w:color w:val="000000"/>
        </w:rPr>
      </w:pPr>
      <w:r w:rsidRPr="0092476D">
        <w:rPr>
          <w:rFonts w:ascii="Arial" w:hAnsi="Arial" w:cs="Arial"/>
          <w:b/>
          <w:bCs/>
          <w:color w:val="000000"/>
        </w:rPr>
        <w:lastRenderedPageBreak/>
        <w:t>Beslissingsmatrix</w:t>
      </w:r>
      <w:r>
        <w:rPr>
          <w:rFonts w:ascii="Arial" w:hAnsi="Arial" w:cs="Arial"/>
          <w:b/>
          <w:bCs/>
          <w:color w:val="000000"/>
        </w:rPr>
        <w:br/>
      </w:r>
    </w:p>
    <w:tbl>
      <w:tblPr>
        <w:tblStyle w:val="Tabelraster"/>
        <w:tblW w:w="9318" w:type="dxa"/>
        <w:tblLook w:val="00A0" w:firstRow="1" w:lastRow="0" w:firstColumn="1" w:lastColumn="0" w:noHBand="0" w:noVBand="0"/>
      </w:tblPr>
      <w:tblGrid>
        <w:gridCol w:w="9860"/>
      </w:tblGrid>
      <w:tr w:rsidR="00161DE2" w:rsidRPr="002348F9" w14:paraId="21F124BC" w14:textId="77777777" w:rsidTr="00233105">
        <w:trPr>
          <w:trHeight w:val="3320"/>
        </w:trPr>
        <w:tc>
          <w:tcPr>
            <w:tcW w:w="9318" w:type="dxa"/>
          </w:tcPr>
          <w:tbl>
            <w:tblPr>
              <w:tblStyle w:val="Tabelraster"/>
              <w:tblW w:w="9634" w:type="dxa"/>
              <w:tblLook w:val="04A0" w:firstRow="1" w:lastRow="0" w:firstColumn="1" w:lastColumn="0" w:noHBand="0" w:noVBand="1"/>
            </w:tblPr>
            <w:tblGrid>
              <w:gridCol w:w="2668"/>
              <w:gridCol w:w="1079"/>
              <w:gridCol w:w="2026"/>
              <w:gridCol w:w="2243"/>
              <w:gridCol w:w="1618"/>
            </w:tblGrid>
            <w:tr w:rsidR="00161DE2" w:rsidRPr="002348F9" w14:paraId="231BBBE1" w14:textId="77777777" w:rsidTr="00233105">
              <w:trPr>
                <w:trHeight w:val="716"/>
              </w:trPr>
              <w:tc>
                <w:tcPr>
                  <w:tcW w:w="0" w:type="auto"/>
                  <w:hideMark/>
                </w:tcPr>
                <w:p w14:paraId="6EB51B0A" w14:textId="77777777" w:rsidR="00161DE2" w:rsidRPr="002348F9" w:rsidRDefault="00161DE2" w:rsidP="00233105">
                  <w:pPr>
                    <w:jc w:val="center"/>
                    <w:rPr>
                      <w:rFonts w:ascii="Arial" w:hAnsi="Arial" w:cs="Arial"/>
                      <w:b/>
                      <w:bCs/>
                      <w:color w:val="000000"/>
                    </w:rPr>
                  </w:pPr>
                  <w:r w:rsidRPr="002348F9">
                    <w:rPr>
                      <w:rFonts w:ascii="Arial" w:hAnsi="Arial" w:cs="Arial"/>
                      <w:b/>
                      <w:bCs/>
                      <w:color w:val="000000"/>
                    </w:rPr>
                    <w:t>Criterium</w:t>
                  </w:r>
                </w:p>
              </w:tc>
              <w:tc>
                <w:tcPr>
                  <w:tcW w:w="0" w:type="auto"/>
                  <w:hideMark/>
                </w:tcPr>
                <w:p w14:paraId="34DB4864" w14:textId="77777777" w:rsidR="00161DE2" w:rsidRPr="002348F9" w:rsidRDefault="00161DE2" w:rsidP="00233105">
                  <w:pPr>
                    <w:jc w:val="center"/>
                    <w:rPr>
                      <w:rFonts w:ascii="Arial" w:hAnsi="Arial" w:cs="Arial"/>
                      <w:b/>
                      <w:bCs/>
                      <w:color w:val="000000"/>
                    </w:rPr>
                  </w:pPr>
                  <w:r w:rsidRPr="002348F9">
                    <w:rPr>
                      <w:rFonts w:ascii="Arial" w:hAnsi="Arial" w:cs="Arial"/>
                      <w:b/>
                      <w:bCs/>
                      <w:color w:val="000000"/>
                    </w:rPr>
                    <w:t>Weging</w:t>
                  </w:r>
                </w:p>
              </w:tc>
              <w:tc>
                <w:tcPr>
                  <w:tcW w:w="0" w:type="auto"/>
                  <w:hideMark/>
                </w:tcPr>
                <w:p w14:paraId="5B75049C" w14:textId="77777777" w:rsidR="00161DE2" w:rsidRPr="002348F9" w:rsidRDefault="00161DE2" w:rsidP="00233105">
                  <w:pPr>
                    <w:jc w:val="center"/>
                    <w:rPr>
                      <w:rFonts w:ascii="Arial" w:hAnsi="Arial" w:cs="Arial"/>
                      <w:b/>
                      <w:bCs/>
                      <w:color w:val="000000"/>
                    </w:rPr>
                  </w:pPr>
                  <w:proofErr w:type="spellStart"/>
                  <w:r w:rsidRPr="002348F9">
                    <w:rPr>
                      <w:rFonts w:ascii="Arial" w:hAnsi="Arial" w:cs="Arial"/>
                      <w:b/>
                      <w:bCs/>
                      <w:color w:val="000000"/>
                    </w:rPr>
                    <w:t>JPMorgan</w:t>
                  </w:r>
                  <w:proofErr w:type="spellEnd"/>
                  <w:r w:rsidRPr="002348F9">
                    <w:rPr>
                      <w:rFonts w:ascii="Arial" w:hAnsi="Arial" w:cs="Arial"/>
                      <w:b/>
                      <w:bCs/>
                      <w:color w:val="000000"/>
                    </w:rPr>
                    <w:t xml:space="preserve"> Global </w:t>
                  </w:r>
                  <w:proofErr w:type="spellStart"/>
                  <w:r w:rsidRPr="002348F9">
                    <w:rPr>
                      <w:rFonts w:ascii="Arial" w:hAnsi="Arial" w:cs="Arial"/>
                      <w:b/>
                      <w:bCs/>
                      <w:color w:val="000000"/>
                    </w:rPr>
                    <w:t>Equity</w:t>
                  </w:r>
                  <w:proofErr w:type="spellEnd"/>
                </w:p>
              </w:tc>
              <w:tc>
                <w:tcPr>
                  <w:tcW w:w="0" w:type="auto"/>
                  <w:hideMark/>
                </w:tcPr>
                <w:p w14:paraId="333EBE2C" w14:textId="77777777" w:rsidR="00161DE2" w:rsidRPr="002348F9" w:rsidRDefault="00161DE2" w:rsidP="00233105">
                  <w:pPr>
                    <w:jc w:val="center"/>
                    <w:rPr>
                      <w:rFonts w:ascii="Arial" w:hAnsi="Arial" w:cs="Arial"/>
                      <w:b/>
                      <w:bCs/>
                      <w:color w:val="000000"/>
                      <w:lang w:val="en-US"/>
                    </w:rPr>
                  </w:pPr>
                  <w:r w:rsidRPr="002348F9">
                    <w:rPr>
                      <w:rFonts w:ascii="Arial" w:hAnsi="Arial" w:cs="Arial"/>
                      <w:b/>
                      <w:bCs/>
                      <w:color w:val="000000"/>
                      <w:lang w:val="en-US"/>
                    </w:rPr>
                    <w:t>Vanguard FTSE All-World ETF</w:t>
                  </w:r>
                </w:p>
              </w:tc>
              <w:tc>
                <w:tcPr>
                  <w:tcW w:w="0" w:type="auto"/>
                  <w:hideMark/>
                </w:tcPr>
                <w:p w14:paraId="09126E3C" w14:textId="77777777" w:rsidR="00161DE2" w:rsidRPr="002348F9" w:rsidRDefault="00161DE2" w:rsidP="00233105">
                  <w:pPr>
                    <w:jc w:val="center"/>
                    <w:rPr>
                      <w:rFonts w:ascii="Arial" w:hAnsi="Arial" w:cs="Arial"/>
                      <w:b/>
                      <w:bCs/>
                      <w:color w:val="000000"/>
                    </w:rPr>
                  </w:pPr>
                  <w:proofErr w:type="spellStart"/>
                  <w:r w:rsidRPr="002348F9">
                    <w:rPr>
                      <w:rFonts w:ascii="Arial" w:hAnsi="Arial" w:cs="Arial"/>
                      <w:b/>
                      <w:bCs/>
                      <w:color w:val="000000"/>
                    </w:rPr>
                    <w:t>Fidelity</w:t>
                  </w:r>
                  <w:proofErr w:type="spellEnd"/>
                  <w:r w:rsidRPr="002348F9">
                    <w:rPr>
                      <w:rFonts w:ascii="Arial" w:hAnsi="Arial" w:cs="Arial"/>
                      <w:b/>
                      <w:bCs/>
                      <w:color w:val="000000"/>
                    </w:rPr>
                    <w:t xml:space="preserve"> World Fund</w:t>
                  </w:r>
                </w:p>
              </w:tc>
            </w:tr>
            <w:tr w:rsidR="00161DE2" w:rsidRPr="002348F9" w14:paraId="665E1272" w14:textId="77777777" w:rsidTr="00233105">
              <w:trPr>
                <w:trHeight w:val="374"/>
              </w:trPr>
              <w:tc>
                <w:tcPr>
                  <w:tcW w:w="0" w:type="auto"/>
                  <w:hideMark/>
                </w:tcPr>
                <w:p w14:paraId="7A037689" w14:textId="77777777" w:rsidR="00161DE2" w:rsidRPr="002348F9" w:rsidRDefault="00161DE2" w:rsidP="00233105">
                  <w:pPr>
                    <w:rPr>
                      <w:rFonts w:ascii="Arial" w:hAnsi="Arial" w:cs="Arial"/>
                      <w:color w:val="000000"/>
                    </w:rPr>
                  </w:pPr>
                  <w:r w:rsidRPr="002348F9">
                    <w:rPr>
                      <w:rFonts w:ascii="Arial" w:hAnsi="Arial" w:cs="Arial"/>
                      <w:color w:val="000000"/>
                    </w:rPr>
                    <w:t>Strategie uitleg</w:t>
                  </w:r>
                </w:p>
              </w:tc>
              <w:tc>
                <w:tcPr>
                  <w:tcW w:w="0" w:type="auto"/>
                  <w:hideMark/>
                </w:tcPr>
                <w:p w14:paraId="71E750C4" w14:textId="77777777" w:rsidR="00161DE2" w:rsidRPr="002348F9" w:rsidRDefault="00161DE2" w:rsidP="00233105">
                  <w:pPr>
                    <w:rPr>
                      <w:rFonts w:ascii="Arial" w:hAnsi="Arial" w:cs="Arial"/>
                      <w:color w:val="000000"/>
                    </w:rPr>
                  </w:pPr>
                  <w:r w:rsidRPr="002348F9">
                    <w:rPr>
                      <w:rFonts w:ascii="Arial" w:hAnsi="Arial" w:cs="Arial"/>
                      <w:color w:val="000000"/>
                    </w:rPr>
                    <w:t>10%</w:t>
                  </w:r>
                </w:p>
              </w:tc>
              <w:tc>
                <w:tcPr>
                  <w:tcW w:w="0" w:type="auto"/>
                  <w:hideMark/>
                </w:tcPr>
                <w:p w14:paraId="521257BA" w14:textId="77777777" w:rsidR="00161DE2" w:rsidRPr="002348F9" w:rsidRDefault="00161DE2" w:rsidP="00233105">
                  <w:pPr>
                    <w:rPr>
                      <w:rFonts w:ascii="Arial" w:hAnsi="Arial" w:cs="Arial"/>
                      <w:color w:val="000000"/>
                    </w:rPr>
                  </w:pPr>
                  <w:r w:rsidRPr="002348F9">
                    <w:rPr>
                      <w:rFonts w:ascii="Arial" w:hAnsi="Arial" w:cs="Arial"/>
                      <w:color w:val="000000"/>
                    </w:rPr>
                    <w:t>8</w:t>
                  </w:r>
                </w:p>
              </w:tc>
              <w:tc>
                <w:tcPr>
                  <w:tcW w:w="0" w:type="auto"/>
                  <w:hideMark/>
                </w:tcPr>
                <w:p w14:paraId="24BC6366" w14:textId="77777777" w:rsidR="00161DE2" w:rsidRPr="002348F9" w:rsidRDefault="00161DE2" w:rsidP="00233105">
                  <w:pPr>
                    <w:rPr>
                      <w:rFonts w:ascii="Arial" w:hAnsi="Arial" w:cs="Arial"/>
                      <w:color w:val="000000"/>
                    </w:rPr>
                  </w:pPr>
                  <w:r w:rsidRPr="002348F9">
                    <w:rPr>
                      <w:rFonts w:ascii="Arial" w:hAnsi="Arial" w:cs="Arial"/>
                      <w:color w:val="000000"/>
                    </w:rPr>
                    <w:t>7</w:t>
                  </w:r>
                </w:p>
              </w:tc>
              <w:tc>
                <w:tcPr>
                  <w:tcW w:w="0" w:type="auto"/>
                  <w:hideMark/>
                </w:tcPr>
                <w:p w14:paraId="6A3DF7F3" w14:textId="77777777" w:rsidR="00161DE2" w:rsidRPr="002348F9" w:rsidRDefault="00161DE2" w:rsidP="00233105">
                  <w:pPr>
                    <w:rPr>
                      <w:rFonts w:ascii="Arial" w:hAnsi="Arial" w:cs="Arial"/>
                      <w:color w:val="000000"/>
                    </w:rPr>
                  </w:pPr>
                  <w:r w:rsidRPr="002348F9">
                    <w:rPr>
                      <w:rFonts w:ascii="Arial" w:hAnsi="Arial" w:cs="Arial"/>
                      <w:color w:val="000000"/>
                    </w:rPr>
                    <w:t>7</w:t>
                  </w:r>
                </w:p>
              </w:tc>
            </w:tr>
            <w:tr w:rsidR="00161DE2" w:rsidRPr="002348F9" w14:paraId="07C8FA07" w14:textId="77777777" w:rsidTr="00233105">
              <w:trPr>
                <w:trHeight w:val="409"/>
              </w:trPr>
              <w:tc>
                <w:tcPr>
                  <w:tcW w:w="0" w:type="auto"/>
                  <w:hideMark/>
                </w:tcPr>
                <w:p w14:paraId="41F69234" w14:textId="77777777" w:rsidR="00161DE2" w:rsidRPr="002348F9" w:rsidRDefault="00161DE2" w:rsidP="00233105">
                  <w:pPr>
                    <w:rPr>
                      <w:rFonts w:ascii="Arial" w:hAnsi="Arial" w:cs="Arial"/>
                      <w:color w:val="000000"/>
                    </w:rPr>
                  </w:pPr>
                  <w:r w:rsidRPr="002348F9">
                    <w:rPr>
                      <w:rFonts w:ascii="Arial" w:hAnsi="Arial" w:cs="Arial"/>
                      <w:color w:val="000000"/>
                    </w:rPr>
                    <w:t>Risico / Rendement</w:t>
                  </w:r>
                </w:p>
              </w:tc>
              <w:tc>
                <w:tcPr>
                  <w:tcW w:w="0" w:type="auto"/>
                  <w:hideMark/>
                </w:tcPr>
                <w:p w14:paraId="2B53B939" w14:textId="77777777" w:rsidR="00161DE2" w:rsidRPr="002348F9" w:rsidRDefault="00161DE2" w:rsidP="00233105">
                  <w:pPr>
                    <w:rPr>
                      <w:rFonts w:ascii="Arial" w:hAnsi="Arial" w:cs="Arial"/>
                      <w:color w:val="000000"/>
                    </w:rPr>
                  </w:pPr>
                  <w:r w:rsidRPr="002348F9">
                    <w:rPr>
                      <w:rFonts w:ascii="Arial" w:hAnsi="Arial" w:cs="Arial"/>
                      <w:color w:val="000000"/>
                    </w:rPr>
                    <w:t>25%</w:t>
                  </w:r>
                </w:p>
              </w:tc>
              <w:tc>
                <w:tcPr>
                  <w:tcW w:w="0" w:type="auto"/>
                  <w:hideMark/>
                </w:tcPr>
                <w:p w14:paraId="45F57B80" w14:textId="77777777" w:rsidR="00161DE2" w:rsidRPr="002348F9" w:rsidRDefault="00161DE2" w:rsidP="00233105">
                  <w:pPr>
                    <w:rPr>
                      <w:rFonts w:ascii="Arial" w:hAnsi="Arial" w:cs="Arial"/>
                      <w:color w:val="000000"/>
                    </w:rPr>
                  </w:pPr>
                  <w:r w:rsidRPr="002348F9">
                    <w:rPr>
                      <w:rFonts w:ascii="Arial" w:hAnsi="Arial" w:cs="Arial"/>
                      <w:color w:val="000000"/>
                    </w:rPr>
                    <w:t>8</w:t>
                  </w:r>
                </w:p>
              </w:tc>
              <w:tc>
                <w:tcPr>
                  <w:tcW w:w="0" w:type="auto"/>
                  <w:hideMark/>
                </w:tcPr>
                <w:p w14:paraId="758FB563" w14:textId="77777777" w:rsidR="00161DE2" w:rsidRPr="002348F9" w:rsidRDefault="00161DE2" w:rsidP="00233105">
                  <w:pPr>
                    <w:rPr>
                      <w:rFonts w:ascii="Arial" w:hAnsi="Arial" w:cs="Arial"/>
                      <w:color w:val="000000"/>
                    </w:rPr>
                  </w:pPr>
                  <w:r w:rsidRPr="002348F9">
                    <w:rPr>
                      <w:rFonts w:ascii="Arial" w:hAnsi="Arial" w:cs="Arial"/>
                      <w:color w:val="000000"/>
                    </w:rPr>
                    <w:t>8</w:t>
                  </w:r>
                </w:p>
              </w:tc>
              <w:tc>
                <w:tcPr>
                  <w:tcW w:w="0" w:type="auto"/>
                  <w:hideMark/>
                </w:tcPr>
                <w:p w14:paraId="252E99A4" w14:textId="77777777" w:rsidR="00161DE2" w:rsidRPr="002348F9" w:rsidRDefault="00161DE2" w:rsidP="00233105">
                  <w:pPr>
                    <w:rPr>
                      <w:rFonts w:ascii="Arial" w:hAnsi="Arial" w:cs="Arial"/>
                      <w:color w:val="000000"/>
                    </w:rPr>
                  </w:pPr>
                  <w:r w:rsidRPr="002348F9">
                    <w:rPr>
                      <w:rFonts w:ascii="Arial" w:hAnsi="Arial" w:cs="Arial"/>
                      <w:color w:val="000000"/>
                    </w:rPr>
                    <w:t>7</w:t>
                  </w:r>
                </w:p>
              </w:tc>
            </w:tr>
            <w:tr w:rsidR="00161DE2" w:rsidRPr="002348F9" w14:paraId="6CEE238B" w14:textId="77777777" w:rsidTr="00233105">
              <w:trPr>
                <w:trHeight w:val="374"/>
              </w:trPr>
              <w:tc>
                <w:tcPr>
                  <w:tcW w:w="0" w:type="auto"/>
                  <w:hideMark/>
                </w:tcPr>
                <w:p w14:paraId="442CA307" w14:textId="77777777" w:rsidR="00161DE2" w:rsidRPr="002348F9" w:rsidRDefault="00161DE2" w:rsidP="00233105">
                  <w:pPr>
                    <w:rPr>
                      <w:rFonts w:ascii="Arial" w:hAnsi="Arial" w:cs="Arial"/>
                      <w:color w:val="000000"/>
                    </w:rPr>
                  </w:pPr>
                  <w:r w:rsidRPr="002348F9">
                    <w:rPr>
                      <w:rFonts w:ascii="Arial" w:hAnsi="Arial" w:cs="Arial"/>
                      <w:color w:val="000000"/>
                    </w:rPr>
                    <w:t>Kosten</w:t>
                  </w:r>
                </w:p>
              </w:tc>
              <w:tc>
                <w:tcPr>
                  <w:tcW w:w="0" w:type="auto"/>
                  <w:hideMark/>
                </w:tcPr>
                <w:p w14:paraId="7F771E21" w14:textId="77777777" w:rsidR="00161DE2" w:rsidRPr="002348F9" w:rsidRDefault="00161DE2" w:rsidP="00233105">
                  <w:pPr>
                    <w:rPr>
                      <w:rFonts w:ascii="Arial" w:hAnsi="Arial" w:cs="Arial"/>
                      <w:color w:val="000000"/>
                    </w:rPr>
                  </w:pPr>
                  <w:r w:rsidRPr="002348F9">
                    <w:rPr>
                      <w:rFonts w:ascii="Arial" w:hAnsi="Arial" w:cs="Arial"/>
                      <w:color w:val="000000"/>
                    </w:rPr>
                    <w:t>15%</w:t>
                  </w:r>
                </w:p>
              </w:tc>
              <w:tc>
                <w:tcPr>
                  <w:tcW w:w="0" w:type="auto"/>
                  <w:hideMark/>
                </w:tcPr>
                <w:p w14:paraId="17CBC8FC" w14:textId="77777777" w:rsidR="00161DE2" w:rsidRPr="002348F9" w:rsidRDefault="00161DE2" w:rsidP="00233105">
                  <w:pPr>
                    <w:rPr>
                      <w:rFonts w:ascii="Arial" w:hAnsi="Arial" w:cs="Arial"/>
                      <w:color w:val="000000"/>
                    </w:rPr>
                  </w:pPr>
                  <w:r w:rsidRPr="002348F9">
                    <w:rPr>
                      <w:rFonts w:ascii="Arial" w:hAnsi="Arial" w:cs="Arial"/>
                      <w:color w:val="000000"/>
                    </w:rPr>
                    <w:t>6</w:t>
                  </w:r>
                </w:p>
              </w:tc>
              <w:tc>
                <w:tcPr>
                  <w:tcW w:w="0" w:type="auto"/>
                  <w:hideMark/>
                </w:tcPr>
                <w:p w14:paraId="7FEA1BB9" w14:textId="77777777" w:rsidR="00161DE2" w:rsidRPr="002348F9" w:rsidRDefault="00161DE2" w:rsidP="00233105">
                  <w:pPr>
                    <w:rPr>
                      <w:rFonts w:ascii="Arial" w:hAnsi="Arial" w:cs="Arial"/>
                      <w:color w:val="000000"/>
                    </w:rPr>
                  </w:pPr>
                  <w:r w:rsidRPr="002348F9">
                    <w:rPr>
                      <w:rFonts w:ascii="Arial" w:hAnsi="Arial" w:cs="Arial"/>
                      <w:color w:val="000000"/>
                    </w:rPr>
                    <w:t>10</w:t>
                  </w:r>
                </w:p>
              </w:tc>
              <w:tc>
                <w:tcPr>
                  <w:tcW w:w="0" w:type="auto"/>
                  <w:hideMark/>
                </w:tcPr>
                <w:p w14:paraId="5336808B" w14:textId="77777777" w:rsidR="00161DE2" w:rsidRPr="002348F9" w:rsidRDefault="00161DE2" w:rsidP="00233105">
                  <w:pPr>
                    <w:rPr>
                      <w:rFonts w:ascii="Arial" w:hAnsi="Arial" w:cs="Arial"/>
                      <w:color w:val="000000"/>
                    </w:rPr>
                  </w:pPr>
                  <w:r w:rsidRPr="002348F9">
                    <w:rPr>
                      <w:rFonts w:ascii="Arial" w:hAnsi="Arial" w:cs="Arial"/>
                      <w:color w:val="000000"/>
                    </w:rPr>
                    <w:t>7</w:t>
                  </w:r>
                </w:p>
              </w:tc>
            </w:tr>
            <w:tr w:rsidR="00161DE2" w:rsidRPr="002348F9" w14:paraId="1D8BDAED" w14:textId="77777777" w:rsidTr="00233105">
              <w:trPr>
                <w:trHeight w:val="716"/>
              </w:trPr>
              <w:tc>
                <w:tcPr>
                  <w:tcW w:w="0" w:type="auto"/>
                  <w:hideMark/>
                </w:tcPr>
                <w:p w14:paraId="06D67D8A" w14:textId="77777777" w:rsidR="00161DE2" w:rsidRPr="002348F9" w:rsidRDefault="00161DE2" w:rsidP="00233105">
                  <w:pPr>
                    <w:rPr>
                      <w:rFonts w:ascii="Arial" w:hAnsi="Arial" w:cs="Arial"/>
                      <w:color w:val="000000"/>
                    </w:rPr>
                  </w:pPr>
                  <w:r w:rsidRPr="002348F9">
                    <w:rPr>
                      <w:rFonts w:ascii="Arial" w:hAnsi="Arial" w:cs="Arial"/>
                      <w:color w:val="000000"/>
                    </w:rPr>
                    <w:t>Aansluiting op onze strategie</w:t>
                  </w:r>
                </w:p>
              </w:tc>
              <w:tc>
                <w:tcPr>
                  <w:tcW w:w="0" w:type="auto"/>
                  <w:hideMark/>
                </w:tcPr>
                <w:p w14:paraId="6D9ADC4A" w14:textId="77777777" w:rsidR="00161DE2" w:rsidRPr="002348F9" w:rsidRDefault="00161DE2" w:rsidP="00233105">
                  <w:pPr>
                    <w:rPr>
                      <w:rFonts w:ascii="Arial" w:hAnsi="Arial" w:cs="Arial"/>
                      <w:color w:val="000000"/>
                    </w:rPr>
                  </w:pPr>
                  <w:r w:rsidRPr="002348F9">
                    <w:rPr>
                      <w:rFonts w:ascii="Arial" w:hAnsi="Arial" w:cs="Arial"/>
                      <w:color w:val="000000"/>
                    </w:rPr>
                    <w:t>30%</w:t>
                  </w:r>
                </w:p>
              </w:tc>
              <w:tc>
                <w:tcPr>
                  <w:tcW w:w="0" w:type="auto"/>
                  <w:hideMark/>
                </w:tcPr>
                <w:p w14:paraId="6901F5D2" w14:textId="77777777" w:rsidR="00161DE2" w:rsidRPr="002348F9" w:rsidRDefault="00161DE2" w:rsidP="00233105">
                  <w:pPr>
                    <w:rPr>
                      <w:rFonts w:ascii="Arial" w:hAnsi="Arial" w:cs="Arial"/>
                      <w:color w:val="000000"/>
                    </w:rPr>
                  </w:pPr>
                  <w:r w:rsidRPr="002348F9">
                    <w:rPr>
                      <w:rFonts w:ascii="Arial" w:hAnsi="Arial" w:cs="Arial"/>
                      <w:color w:val="000000"/>
                    </w:rPr>
                    <w:t>9</w:t>
                  </w:r>
                </w:p>
              </w:tc>
              <w:tc>
                <w:tcPr>
                  <w:tcW w:w="0" w:type="auto"/>
                  <w:hideMark/>
                </w:tcPr>
                <w:p w14:paraId="0B406BB5" w14:textId="77777777" w:rsidR="00161DE2" w:rsidRPr="002348F9" w:rsidRDefault="00161DE2" w:rsidP="00233105">
                  <w:pPr>
                    <w:rPr>
                      <w:rFonts w:ascii="Arial" w:hAnsi="Arial" w:cs="Arial"/>
                      <w:color w:val="000000"/>
                    </w:rPr>
                  </w:pPr>
                  <w:r w:rsidRPr="002348F9">
                    <w:rPr>
                      <w:rFonts w:ascii="Arial" w:hAnsi="Arial" w:cs="Arial"/>
                      <w:color w:val="000000"/>
                    </w:rPr>
                    <w:t>7</w:t>
                  </w:r>
                </w:p>
              </w:tc>
              <w:tc>
                <w:tcPr>
                  <w:tcW w:w="0" w:type="auto"/>
                  <w:hideMark/>
                </w:tcPr>
                <w:p w14:paraId="4170C03E" w14:textId="77777777" w:rsidR="00161DE2" w:rsidRPr="002348F9" w:rsidRDefault="00161DE2" w:rsidP="00233105">
                  <w:pPr>
                    <w:rPr>
                      <w:rFonts w:ascii="Arial" w:hAnsi="Arial" w:cs="Arial"/>
                      <w:color w:val="000000"/>
                    </w:rPr>
                  </w:pPr>
                  <w:r w:rsidRPr="002348F9">
                    <w:rPr>
                      <w:rFonts w:ascii="Arial" w:hAnsi="Arial" w:cs="Arial"/>
                      <w:color w:val="000000"/>
                    </w:rPr>
                    <w:t>7</w:t>
                  </w:r>
                </w:p>
              </w:tc>
            </w:tr>
            <w:tr w:rsidR="00161DE2" w:rsidRPr="002348F9" w14:paraId="642251DD" w14:textId="77777777" w:rsidTr="00233105">
              <w:trPr>
                <w:trHeight w:val="374"/>
              </w:trPr>
              <w:tc>
                <w:tcPr>
                  <w:tcW w:w="0" w:type="auto"/>
                  <w:hideMark/>
                </w:tcPr>
                <w:p w14:paraId="195A65C1" w14:textId="77777777" w:rsidR="00161DE2" w:rsidRPr="002348F9" w:rsidRDefault="00161DE2" w:rsidP="00233105">
                  <w:pPr>
                    <w:rPr>
                      <w:rFonts w:ascii="Arial" w:hAnsi="Arial" w:cs="Arial"/>
                      <w:color w:val="000000"/>
                    </w:rPr>
                  </w:pPr>
                  <w:r w:rsidRPr="002348F9">
                    <w:rPr>
                      <w:rFonts w:ascii="Arial" w:hAnsi="Arial" w:cs="Arial"/>
                      <w:color w:val="000000"/>
                    </w:rPr>
                    <w:t>Risico-informatie</w:t>
                  </w:r>
                </w:p>
              </w:tc>
              <w:tc>
                <w:tcPr>
                  <w:tcW w:w="0" w:type="auto"/>
                  <w:hideMark/>
                </w:tcPr>
                <w:p w14:paraId="3BFE64AC" w14:textId="77777777" w:rsidR="00161DE2" w:rsidRPr="002348F9" w:rsidRDefault="00161DE2" w:rsidP="00233105">
                  <w:pPr>
                    <w:rPr>
                      <w:rFonts w:ascii="Arial" w:hAnsi="Arial" w:cs="Arial"/>
                      <w:color w:val="000000"/>
                    </w:rPr>
                  </w:pPr>
                  <w:r w:rsidRPr="002348F9">
                    <w:rPr>
                      <w:rFonts w:ascii="Arial" w:hAnsi="Arial" w:cs="Arial"/>
                      <w:color w:val="000000"/>
                    </w:rPr>
                    <w:t>10%</w:t>
                  </w:r>
                </w:p>
              </w:tc>
              <w:tc>
                <w:tcPr>
                  <w:tcW w:w="0" w:type="auto"/>
                  <w:hideMark/>
                </w:tcPr>
                <w:p w14:paraId="2968DFDF" w14:textId="77777777" w:rsidR="00161DE2" w:rsidRPr="002348F9" w:rsidRDefault="00161DE2" w:rsidP="00233105">
                  <w:pPr>
                    <w:rPr>
                      <w:rFonts w:ascii="Arial" w:hAnsi="Arial" w:cs="Arial"/>
                      <w:color w:val="000000"/>
                    </w:rPr>
                  </w:pPr>
                  <w:r w:rsidRPr="002348F9">
                    <w:rPr>
                      <w:rFonts w:ascii="Arial" w:hAnsi="Arial" w:cs="Arial"/>
                      <w:color w:val="000000"/>
                    </w:rPr>
                    <w:t>8</w:t>
                  </w:r>
                </w:p>
              </w:tc>
              <w:tc>
                <w:tcPr>
                  <w:tcW w:w="0" w:type="auto"/>
                  <w:hideMark/>
                </w:tcPr>
                <w:p w14:paraId="37612922" w14:textId="77777777" w:rsidR="00161DE2" w:rsidRPr="002348F9" w:rsidRDefault="00161DE2" w:rsidP="00233105">
                  <w:pPr>
                    <w:rPr>
                      <w:rFonts w:ascii="Arial" w:hAnsi="Arial" w:cs="Arial"/>
                      <w:color w:val="000000"/>
                    </w:rPr>
                  </w:pPr>
                  <w:r w:rsidRPr="002348F9">
                    <w:rPr>
                      <w:rFonts w:ascii="Arial" w:hAnsi="Arial" w:cs="Arial"/>
                      <w:color w:val="000000"/>
                    </w:rPr>
                    <w:t>8</w:t>
                  </w:r>
                </w:p>
              </w:tc>
              <w:tc>
                <w:tcPr>
                  <w:tcW w:w="0" w:type="auto"/>
                  <w:hideMark/>
                </w:tcPr>
                <w:p w14:paraId="2573BCE5" w14:textId="77777777" w:rsidR="00161DE2" w:rsidRPr="002348F9" w:rsidRDefault="00161DE2" w:rsidP="00233105">
                  <w:pPr>
                    <w:rPr>
                      <w:rFonts w:ascii="Arial" w:hAnsi="Arial" w:cs="Arial"/>
                      <w:color w:val="000000"/>
                    </w:rPr>
                  </w:pPr>
                  <w:r w:rsidRPr="002348F9">
                    <w:rPr>
                      <w:rFonts w:ascii="Arial" w:hAnsi="Arial" w:cs="Arial"/>
                      <w:color w:val="000000"/>
                    </w:rPr>
                    <w:t>7</w:t>
                  </w:r>
                </w:p>
              </w:tc>
            </w:tr>
            <w:tr w:rsidR="00161DE2" w:rsidRPr="002348F9" w14:paraId="32DADB6B" w14:textId="77777777" w:rsidTr="00233105">
              <w:trPr>
                <w:trHeight w:val="374"/>
              </w:trPr>
              <w:tc>
                <w:tcPr>
                  <w:tcW w:w="0" w:type="auto"/>
                  <w:hideMark/>
                </w:tcPr>
                <w:p w14:paraId="13AB7FBA" w14:textId="77777777" w:rsidR="00161DE2" w:rsidRPr="002348F9" w:rsidRDefault="00161DE2" w:rsidP="00233105">
                  <w:pPr>
                    <w:rPr>
                      <w:rFonts w:ascii="Arial" w:hAnsi="Arial" w:cs="Arial"/>
                      <w:color w:val="000000"/>
                    </w:rPr>
                  </w:pPr>
                  <w:r w:rsidRPr="002348F9">
                    <w:rPr>
                      <w:rFonts w:ascii="Arial" w:hAnsi="Arial" w:cs="Arial"/>
                      <w:color w:val="000000"/>
                    </w:rPr>
                    <w:t>Klantcommunicatie</w:t>
                  </w:r>
                </w:p>
              </w:tc>
              <w:tc>
                <w:tcPr>
                  <w:tcW w:w="0" w:type="auto"/>
                  <w:hideMark/>
                </w:tcPr>
                <w:p w14:paraId="354FC063" w14:textId="77777777" w:rsidR="00161DE2" w:rsidRPr="002348F9" w:rsidRDefault="00161DE2" w:rsidP="00233105">
                  <w:pPr>
                    <w:rPr>
                      <w:rFonts w:ascii="Arial" w:hAnsi="Arial" w:cs="Arial"/>
                      <w:color w:val="000000"/>
                    </w:rPr>
                  </w:pPr>
                  <w:r w:rsidRPr="002348F9">
                    <w:rPr>
                      <w:rFonts w:ascii="Arial" w:hAnsi="Arial" w:cs="Arial"/>
                      <w:color w:val="000000"/>
                    </w:rPr>
                    <w:t>10%</w:t>
                  </w:r>
                </w:p>
              </w:tc>
              <w:tc>
                <w:tcPr>
                  <w:tcW w:w="0" w:type="auto"/>
                  <w:hideMark/>
                </w:tcPr>
                <w:p w14:paraId="4F946A2F" w14:textId="77777777" w:rsidR="00161DE2" w:rsidRPr="002348F9" w:rsidRDefault="00161DE2" w:rsidP="00233105">
                  <w:pPr>
                    <w:rPr>
                      <w:rFonts w:ascii="Arial" w:hAnsi="Arial" w:cs="Arial"/>
                      <w:color w:val="000000"/>
                    </w:rPr>
                  </w:pPr>
                  <w:r w:rsidRPr="002348F9">
                    <w:rPr>
                      <w:rFonts w:ascii="Arial" w:hAnsi="Arial" w:cs="Arial"/>
                      <w:color w:val="000000"/>
                    </w:rPr>
                    <w:t>9</w:t>
                  </w:r>
                </w:p>
              </w:tc>
              <w:tc>
                <w:tcPr>
                  <w:tcW w:w="0" w:type="auto"/>
                  <w:hideMark/>
                </w:tcPr>
                <w:p w14:paraId="0BBA6D36" w14:textId="77777777" w:rsidR="00161DE2" w:rsidRPr="002348F9" w:rsidRDefault="00161DE2" w:rsidP="00233105">
                  <w:pPr>
                    <w:rPr>
                      <w:rFonts w:ascii="Arial" w:hAnsi="Arial" w:cs="Arial"/>
                      <w:color w:val="000000"/>
                    </w:rPr>
                  </w:pPr>
                  <w:r w:rsidRPr="002348F9">
                    <w:rPr>
                      <w:rFonts w:ascii="Arial" w:hAnsi="Arial" w:cs="Arial"/>
                      <w:color w:val="000000"/>
                    </w:rPr>
                    <w:t>8</w:t>
                  </w:r>
                </w:p>
              </w:tc>
              <w:tc>
                <w:tcPr>
                  <w:tcW w:w="0" w:type="auto"/>
                  <w:hideMark/>
                </w:tcPr>
                <w:p w14:paraId="09FC65D2" w14:textId="77777777" w:rsidR="00161DE2" w:rsidRPr="002348F9" w:rsidRDefault="00161DE2" w:rsidP="00233105">
                  <w:pPr>
                    <w:rPr>
                      <w:rFonts w:ascii="Arial" w:hAnsi="Arial" w:cs="Arial"/>
                      <w:color w:val="000000"/>
                    </w:rPr>
                  </w:pPr>
                  <w:r w:rsidRPr="002348F9">
                    <w:rPr>
                      <w:rFonts w:ascii="Arial" w:hAnsi="Arial" w:cs="Arial"/>
                      <w:color w:val="000000"/>
                    </w:rPr>
                    <w:t>7</w:t>
                  </w:r>
                </w:p>
              </w:tc>
            </w:tr>
          </w:tbl>
          <w:p w14:paraId="11205F35" w14:textId="77777777" w:rsidR="00161DE2" w:rsidRPr="002348F9" w:rsidRDefault="00161DE2" w:rsidP="00233105">
            <w:pPr>
              <w:spacing w:before="100" w:beforeAutospacing="1" w:after="100" w:afterAutospacing="1"/>
              <w:rPr>
                <w:rFonts w:ascii="Arial" w:hAnsi="Arial" w:cs="Arial"/>
                <w:b/>
                <w:bCs/>
                <w:color w:val="000000"/>
              </w:rPr>
            </w:pPr>
          </w:p>
        </w:tc>
      </w:tr>
    </w:tbl>
    <w:p w14:paraId="3B1B07C7" w14:textId="77777777" w:rsidR="00161DE2" w:rsidRDefault="00161DE2" w:rsidP="00161DE2">
      <w:pPr>
        <w:spacing w:beforeAutospacing="1" w:afterAutospacing="1"/>
        <w:jc w:val="center"/>
        <w:rPr>
          <w:rFonts w:ascii="Arial" w:hAnsi="Arial" w:cs="Arial"/>
          <w:b/>
          <w:bCs/>
          <w:color w:val="000000" w:themeColor="text1"/>
        </w:rPr>
      </w:pPr>
    </w:p>
    <w:p w14:paraId="17064213" w14:textId="77777777" w:rsidR="00161DE2" w:rsidRPr="0092476D" w:rsidRDefault="00161DE2" w:rsidP="00161DE2">
      <w:pPr>
        <w:spacing w:before="100" w:beforeAutospacing="1" w:after="100" w:afterAutospacing="1"/>
        <w:jc w:val="center"/>
        <w:rPr>
          <w:rFonts w:ascii="Arial" w:hAnsi="Arial" w:cs="Arial"/>
          <w:b/>
          <w:bCs/>
          <w:color w:val="000000"/>
        </w:rPr>
      </w:pPr>
      <w:r w:rsidRPr="0092476D">
        <w:rPr>
          <w:rFonts w:ascii="Arial" w:hAnsi="Arial" w:cs="Arial"/>
          <w:b/>
          <w:bCs/>
          <w:color w:val="000000"/>
        </w:rPr>
        <w:t>Conclusie</w:t>
      </w:r>
    </w:p>
    <w:p w14:paraId="66219224" w14:textId="77777777" w:rsidR="00161DE2" w:rsidRPr="003E7B68" w:rsidRDefault="00161DE2" w:rsidP="00161DE2">
      <w:pPr>
        <w:spacing w:before="100" w:beforeAutospacing="1" w:after="100" w:afterAutospacing="1"/>
        <w:ind w:left="720"/>
        <w:rPr>
          <w:rFonts w:ascii="Arial" w:hAnsi="Arial" w:cs="Arial"/>
          <w:color w:val="000000"/>
        </w:rPr>
      </w:pPr>
      <w:r w:rsidRPr="003E7B68">
        <w:rPr>
          <w:rFonts w:ascii="Arial" w:hAnsi="Arial" w:cs="Arial"/>
          <w:color w:val="000000"/>
        </w:rPr>
        <w:t xml:space="preserve">Het </w:t>
      </w:r>
      <w:proofErr w:type="spellStart"/>
      <w:r w:rsidRPr="003E7B68">
        <w:rPr>
          <w:rFonts w:ascii="Arial" w:hAnsi="Arial" w:cs="Arial"/>
          <w:color w:val="000000"/>
        </w:rPr>
        <w:t>JPMorgan</w:t>
      </w:r>
      <w:proofErr w:type="spellEnd"/>
      <w:r w:rsidRPr="003E7B68">
        <w:rPr>
          <w:rFonts w:ascii="Arial" w:hAnsi="Arial" w:cs="Arial"/>
          <w:color w:val="000000"/>
        </w:rPr>
        <w:t xml:space="preserve"> Global </w:t>
      </w:r>
      <w:proofErr w:type="spellStart"/>
      <w:r w:rsidRPr="003E7B68">
        <w:rPr>
          <w:rFonts w:ascii="Arial" w:hAnsi="Arial" w:cs="Arial"/>
          <w:color w:val="000000"/>
        </w:rPr>
        <w:t>Equity</w:t>
      </w:r>
      <w:proofErr w:type="spellEnd"/>
      <w:r w:rsidRPr="003E7B68">
        <w:rPr>
          <w:rFonts w:ascii="Arial" w:hAnsi="Arial" w:cs="Arial"/>
          <w:color w:val="000000"/>
        </w:rPr>
        <w:t xml:space="preserve"> Fund komt het beste uit de vergelijking. Het fonds scoort hoog op strategie-uitleg, aansluiting op onze adviesaanpak en klantcommunicatie. Het fonds is actief beheerd, waardoor klanten makkelijker begrijpen waarom bepaalde bedrijven gekozen zijn. Dit maakt het fonds geschikt voor een brede groep klanten.</w:t>
      </w:r>
    </w:p>
    <w:p w14:paraId="30F0549B" w14:textId="77777777" w:rsidR="00161DE2" w:rsidRPr="003E7B68" w:rsidRDefault="00161DE2" w:rsidP="00161DE2">
      <w:pPr>
        <w:spacing w:before="100" w:beforeAutospacing="1" w:after="100" w:afterAutospacing="1"/>
        <w:ind w:left="720"/>
        <w:rPr>
          <w:rFonts w:ascii="Arial" w:hAnsi="Arial" w:cs="Arial"/>
          <w:color w:val="000000"/>
        </w:rPr>
      </w:pPr>
      <w:proofErr w:type="spellStart"/>
      <w:r w:rsidRPr="003E7B68">
        <w:rPr>
          <w:rFonts w:ascii="Arial" w:hAnsi="Arial" w:cs="Arial"/>
          <w:color w:val="000000"/>
        </w:rPr>
        <w:t>Vanguard</w:t>
      </w:r>
      <w:proofErr w:type="spellEnd"/>
      <w:r w:rsidRPr="003E7B68">
        <w:rPr>
          <w:rFonts w:ascii="Arial" w:hAnsi="Arial" w:cs="Arial"/>
          <w:color w:val="000000"/>
        </w:rPr>
        <w:t xml:space="preserve"> is een goede tweede keuze vanwege de lage kosten en brede spreiding. </w:t>
      </w:r>
      <w:proofErr w:type="spellStart"/>
      <w:r w:rsidRPr="003E7B68">
        <w:rPr>
          <w:rFonts w:ascii="Arial" w:hAnsi="Arial" w:cs="Arial"/>
          <w:color w:val="000000"/>
        </w:rPr>
        <w:t>Fidelity</w:t>
      </w:r>
      <w:proofErr w:type="spellEnd"/>
      <w:r w:rsidRPr="003E7B68">
        <w:rPr>
          <w:rFonts w:ascii="Arial" w:hAnsi="Arial" w:cs="Arial"/>
          <w:color w:val="000000"/>
        </w:rPr>
        <w:t xml:space="preserve"> scoort redelijk, maar is minder duidelijk voor klanten die nog weinig ervaring hebben met beleggen.</w:t>
      </w:r>
    </w:p>
    <w:p w14:paraId="0EEA9CDF" w14:textId="77777777" w:rsidR="00161DE2" w:rsidRDefault="00161DE2" w:rsidP="00161DE2">
      <w:pPr>
        <w:spacing w:before="100" w:beforeAutospacing="1" w:after="100" w:afterAutospacing="1"/>
        <w:ind w:left="720"/>
        <w:rPr>
          <w:rFonts w:ascii="Arial" w:hAnsi="Arial" w:cs="Arial"/>
          <w:color w:val="000000"/>
        </w:rPr>
      </w:pPr>
      <w:r w:rsidRPr="003E7B68">
        <w:rPr>
          <w:rFonts w:ascii="Arial" w:hAnsi="Arial" w:cs="Arial"/>
          <w:color w:val="000000"/>
        </w:rPr>
        <w:t xml:space="preserve">Omdat </w:t>
      </w:r>
      <w:proofErr w:type="spellStart"/>
      <w:r w:rsidRPr="003E7B68">
        <w:rPr>
          <w:rFonts w:ascii="Arial" w:hAnsi="Arial" w:cs="Arial"/>
          <w:color w:val="000000"/>
        </w:rPr>
        <w:t>JPMorgan</w:t>
      </w:r>
      <w:proofErr w:type="spellEnd"/>
      <w:r w:rsidRPr="003E7B68">
        <w:rPr>
          <w:rFonts w:ascii="Arial" w:hAnsi="Arial" w:cs="Arial"/>
          <w:color w:val="000000"/>
        </w:rPr>
        <w:t xml:space="preserve"> de beste combinatie heeft van helderheid, wereldwijde spreiding en aansluiting op onze adviespropositie, kiezen we dit fonds als het wereldwijde aandelenfonds dat we op onze website plaatsen.</w:t>
      </w:r>
    </w:p>
    <w:p w14:paraId="5990D354" w14:textId="77777777" w:rsidR="00161DE2" w:rsidRDefault="00161DE2" w:rsidP="00161DE2">
      <w:pPr>
        <w:spacing w:before="100" w:beforeAutospacing="1" w:after="100" w:afterAutospacing="1"/>
        <w:ind w:left="720"/>
        <w:rPr>
          <w:rFonts w:ascii="Arial" w:hAnsi="Arial" w:cs="Arial"/>
          <w:b/>
          <w:bCs/>
          <w:color w:val="000000"/>
          <w:lang w:val="en-US"/>
        </w:rPr>
      </w:pPr>
      <w:r w:rsidRPr="006914E3">
        <w:rPr>
          <w:rFonts w:ascii="Arial" w:hAnsi="Arial" w:cs="Arial"/>
          <w:b/>
          <w:bCs/>
          <w:color w:val="000000"/>
          <w:lang w:val="en-US"/>
        </w:rPr>
        <w:t>APA-</w:t>
      </w:r>
      <w:proofErr w:type="spellStart"/>
      <w:r w:rsidRPr="006914E3">
        <w:rPr>
          <w:rFonts w:ascii="Arial" w:hAnsi="Arial" w:cs="Arial"/>
          <w:b/>
          <w:bCs/>
          <w:color w:val="000000"/>
          <w:lang w:val="en-US"/>
        </w:rPr>
        <w:t>bronnenlijst</w:t>
      </w:r>
      <w:proofErr w:type="spellEnd"/>
    </w:p>
    <w:p w14:paraId="24081FD3" w14:textId="77777777" w:rsidR="00161DE2" w:rsidRPr="00AF155E" w:rsidRDefault="00161DE2" w:rsidP="00161DE2">
      <w:pPr>
        <w:spacing w:before="100" w:beforeAutospacing="1" w:after="100" w:afterAutospacing="1"/>
        <w:ind w:left="720"/>
        <w:rPr>
          <w:rFonts w:ascii="Arial" w:hAnsi="Arial" w:cs="Arial"/>
          <w:b/>
          <w:bCs/>
          <w:color w:val="000000"/>
          <w:lang w:val="en-US"/>
        </w:rPr>
      </w:pPr>
      <w:r w:rsidRPr="00AF155E">
        <w:rPr>
          <w:rFonts w:ascii="Arial" w:hAnsi="Arial" w:cs="Arial"/>
          <w:color w:val="000000"/>
          <w:lang w:val="en-US"/>
        </w:rPr>
        <w:t>Fidelity Investments. (2024).</w:t>
      </w:r>
      <w:r w:rsidRPr="00AF155E">
        <w:rPr>
          <w:rStyle w:val="apple-converted-space"/>
          <w:rFonts w:ascii="Arial" w:eastAsiaTheme="majorEastAsia" w:hAnsi="Arial" w:cs="Arial"/>
          <w:color w:val="000000"/>
          <w:lang w:val="en-US"/>
        </w:rPr>
        <w:t> </w:t>
      </w:r>
      <w:r w:rsidRPr="00AF155E">
        <w:rPr>
          <w:rStyle w:val="Nadruk"/>
          <w:rFonts w:ascii="Arial" w:eastAsiaTheme="majorEastAsia" w:hAnsi="Arial" w:cs="Arial"/>
          <w:color w:val="000000"/>
          <w:lang w:val="en-US"/>
        </w:rPr>
        <w:t>Fidelity Sustainable Global Equity Fund – Fund information and ESG approach.</w:t>
      </w:r>
      <w:r w:rsidRPr="00AF155E">
        <w:rPr>
          <w:rFonts w:ascii="Arial" w:hAnsi="Arial" w:cs="Arial"/>
          <w:color w:val="000000"/>
          <w:lang w:val="en-US"/>
        </w:rPr>
        <w:br/>
      </w:r>
      <w:hyperlink r:id="rId52" w:tgtFrame="_new" w:history="1">
        <w:r w:rsidRPr="00AF155E">
          <w:rPr>
            <w:rStyle w:val="Hyperlink"/>
            <w:rFonts w:ascii="Arial" w:eastAsiaTheme="majorEastAsia" w:hAnsi="Arial" w:cs="Arial"/>
            <w:lang w:val="en-US"/>
          </w:rPr>
          <w:t>https://www.fidelityinternational.com</w:t>
        </w:r>
      </w:hyperlink>
      <w:r w:rsidRPr="00161DE2">
        <w:rPr>
          <w:rFonts w:ascii="Arial" w:hAnsi="Arial" w:cs="Arial"/>
          <w:color w:val="000000"/>
          <w:lang w:val="en-US"/>
        </w:rPr>
        <w:br/>
      </w:r>
      <w:r w:rsidRPr="00AF155E">
        <w:rPr>
          <w:rFonts w:ascii="Arial" w:hAnsi="Arial" w:cs="Arial"/>
          <w:color w:val="000000"/>
          <w:lang w:val="en-US"/>
        </w:rPr>
        <w:t>JPMorgan Asset Management. (2024).</w:t>
      </w:r>
      <w:r w:rsidRPr="00AF155E">
        <w:rPr>
          <w:rStyle w:val="apple-converted-space"/>
          <w:rFonts w:ascii="Arial" w:eastAsiaTheme="majorEastAsia" w:hAnsi="Arial" w:cs="Arial"/>
          <w:color w:val="000000"/>
          <w:lang w:val="en-US"/>
        </w:rPr>
        <w:t> </w:t>
      </w:r>
      <w:r w:rsidRPr="00AF155E">
        <w:rPr>
          <w:rStyle w:val="Nadruk"/>
          <w:rFonts w:ascii="Arial" w:eastAsiaTheme="majorEastAsia" w:hAnsi="Arial" w:cs="Arial"/>
          <w:color w:val="000000"/>
          <w:lang w:val="en-US"/>
        </w:rPr>
        <w:t>JPMorgan Global Sustainable Equity Fund – Fund details and ESG methodology.</w:t>
      </w:r>
      <w:r w:rsidRPr="00AF155E">
        <w:rPr>
          <w:rFonts w:ascii="Arial" w:hAnsi="Arial" w:cs="Arial"/>
          <w:color w:val="000000"/>
          <w:lang w:val="en-US"/>
        </w:rPr>
        <w:br/>
      </w:r>
      <w:hyperlink r:id="rId53" w:history="1">
        <w:r w:rsidRPr="00C5670E">
          <w:rPr>
            <w:rStyle w:val="Hyperlink"/>
            <w:rFonts w:ascii="Arial" w:hAnsi="Arial" w:cs="Arial"/>
            <w:lang w:val="en-US"/>
          </w:rPr>
          <w:t>https://am.jpmorgan.com</w:t>
        </w:r>
      </w:hyperlink>
      <w:r>
        <w:rPr>
          <w:rFonts w:ascii="Arial" w:hAnsi="Arial" w:cs="Arial"/>
          <w:color w:val="000000"/>
          <w:lang w:val="en-US"/>
        </w:rPr>
        <w:br/>
      </w:r>
      <w:r w:rsidRPr="00AF155E">
        <w:rPr>
          <w:rFonts w:ascii="Arial" w:hAnsi="Arial" w:cs="Arial"/>
          <w:color w:val="000000"/>
          <w:lang w:val="en-US"/>
        </w:rPr>
        <w:t>Morningstar. (2024).</w:t>
      </w:r>
      <w:r w:rsidRPr="00AF155E">
        <w:rPr>
          <w:rStyle w:val="apple-converted-space"/>
          <w:rFonts w:ascii="Arial" w:eastAsiaTheme="majorEastAsia" w:hAnsi="Arial" w:cs="Arial"/>
          <w:color w:val="000000"/>
          <w:lang w:val="en-US"/>
        </w:rPr>
        <w:t> </w:t>
      </w:r>
      <w:r w:rsidRPr="00AF155E">
        <w:rPr>
          <w:rStyle w:val="Nadruk"/>
          <w:rFonts w:ascii="Arial" w:eastAsiaTheme="majorEastAsia" w:hAnsi="Arial" w:cs="Arial"/>
          <w:color w:val="000000"/>
          <w:lang w:val="en-US"/>
        </w:rPr>
        <w:t>Fund performance data and risk metrics for global sustainable equity funds.</w:t>
      </w:r>
      <w:r w:rsidRPr="00AF155E">
        <w:rPr>
          <w:rFonts w:ascii="Arial" w:hAnsi="Arial" w:cs="Arial"/>
          <w:color w:val="000000"/>
          <w:lang w:val="en-US"/>
        </w:rPr>
        <w:br/>
      </w:r>
      <w:hyperlink r:id="rId54" w:tgtFrame="_new" w:history="1">
        <w:r w:rsidRPr="00AF155E">
          <w:rPr>
            <w:rStyle w:val="Hyperlink"/>
            <w:rFonts w:ascii="Arial" w:eastAsiaTheme="majorEastAsia" w:hAnsi="Arial" w:cs="Arial"/>
            <w:lang w:val="en-US"/>
          </w:rPr>
          <w:t>https://www.morningstar.com</w:t>
        </w:r>
      </w:hyperlink>
      <w:r w:rsidRPr="00161DE2">
        <w:rPr>
          <w:rFonts w:ascii="Arial" w:hAnsi="Arial" w:cs="Arial"/>
          <w:color w:val="000000"/>
          <w:lang w:val="en-US"/>
        </w:rPr>
        <w:br/>
      </w:r>
      <w:r w:rsidRPr="00AF155E">
        <w:rPr>
          <w:rFonts w:ascii="Arial" w:hAnsi="Arial" w:cs="Arial"/>
          <w:color w:val="000000"/>
          <w:lang w:val="en-US"/>
        </w:rPr>
        <w:t>Vanguard. (2024).</w:t>
      </w:r>
      <w:r w:rsidRPr="00AF155E">
        <w:rPr>
          <w:rStyle w:val="apple-converted-space"/>
          <w:rFonts w:ascii="Arial" w:eastAsiaTheme="majorEastAsia" w:hAnsi="Arial" w:cs="Arial"/>
          <w:color w:val="000000"/>
          <w:lang w:val="en-US"/>
        </w:rPr>
        <w:t> </w:t>
      </w:r>
      <w:r w:rsidRPr="00AF155E">
        <w:rPr>
          <w:rStyle w:val="Nadruk"/>
          <w:rFonts w:ascii="Arial" w:eastAsiaTheme="majorEastAsia" w:hAnsi="Arial" w:cs="Arial"/>
          <w:color w:val="000000"/>
          <w:lang w:val="en-US"/>
        </w:rPr>
        <w:t xml:space="preserve">Vanguard ESG Global All-Cap UCITS ETF – Prospectus </w:t>
      </w:r>
      <w:r w:rsidRPr="00AF155E">
        <w:rPr>
          <w:rStyle w:val="Nadruk"/>
          <w:rFonts w:ascii="Arial" w:eastAsiaTheme="majorEastAsia" w:hAnsi="Arial" w:cs="Arial"/>
          <w:color w:val="000000"/>
          <w:lang w:val="en-US"/>
        </w:rPr>
        <w:lastRenderedPageBreak/>
        <w:t>and fund overview.</w:t>
      </w:r>
      <w:r w:rsidRPr="00AF155E">
        <w:rPr>
          <w:rFonts w:ascii="Arial" w:hAnsi="Arial" w:cs="Arial"/>
          <w:color w:val="000000"/>
          <w:lang w:val="en-US"/>
        </w:rPr>
        <w:br/>
      </w:r>
      <w:hyperlink r:id="rId55" w:tgtFrame="_new" w:history="1">
        <w:r w:rsidRPr="00AF155E">
          <w:rPr>
            <w:rStyle w:val="Hyperlink"/>
            <w:rFonts w:ascii="Arial" w:eastAsiaTheme="majorEastAsia" w:hAnsi="Arial" w:cs="Arial"/>
          </w:rPr>
          <w:t>https://www.vanguardinvestor.co.uk</w:t>
        </w:r>
      </w:hyperlink>
    </w:p>
    <w:p w14:paraId="66B9A11D" w14:textId="77777777" w:rsidR="00161DE2" w:rsidRPr="006914E3" w:rsidRDefault="00161DE2" w:rsidP="00161DE2">
      <w:pPr>
        <w:spacing w:before="100" w:beforeAutospacing="1" w:after="100" w:afterAutospacing="1"/>
        <w:ind w:left="720"/>
        <w:rPr>
          <w:rFonts w:ascii="Arial" w:hAnsi="Arial" w:cs="Arial"/>
          <w:color w:val="000000"/>
          <w:lang w:val="en-US"/>
        </w:rPr>
      </w:pPr>
    </w:p>
    <w:p w14:paraId="5C5AD989" w14:textId="77777777" w:rsidR="00161DE2" w:rsidRPr="00161DE2" w:rsidRDefault="00161DE2">
      <w:pPr>
        <w:rPr>
          <w:b/>
          <w:bCs/>
          <w:sz w:val="28"/>
          <w:szCs w:val="28"/>
          <w:lang w:val="en-US"/>
        </w:rPr>
      </w:pPr>
    </w:p>
    <w:sectPr w:rsidR="00161DE2" w:rsidRPr="00161D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802066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2C4D5483"/>
    <w:multiLevelType w:val="hybridMultilevel"/>
    <w:tmpl w:val="2C2AA9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722DAE"/>
    <w:multiLevelType w:val="multilevel"/>
    <w:tmpl w:val="478E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C40BF"/>
    <w:multiLevelType w:val="hybridMultilevel"/>
    <w:tmpl w:val="268AF52E"/>
    <w:lvl w:ilvl="0" w:tplc="EA0C4E4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0EC399B"/>
    <w:multiLevelType w:val="multilevel"/>
    <w:tmpl w:val="7B6C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B0182"/>
    <w:multiLevelType w:val="multilevel"/>
    <w:tmpl w:val="08A0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484360"/>
    <w:multiLevelType w:val="hybridMultilevel"/>
    <w:tmpl w:val="6CDA60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FD23FAF"/>
    <w:multiLevelType w:val="multilevel"/>
    <w:tmpl w:val="C5AE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7D199A"/>
    <w:multiLevelType w:val="hybridMultilevel"/>
    <w:tmpl w:val="454C01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0208135">
    <w:abstractNumId w:val="3"/>
  </w:num>
  <w:num w:numId="2" w16cid:durableId="1813019049">
    <w:abstractNumId w:val="1"/>
  </w:num>
  <w:num w:numId="3" w16cid:durableId="1600991956">
    <w:abstractNumId w:val="8"/>
  </w:num>
  <w:num w:numId="4" w16cid:durableId="1080251703">
    <w:abstractNumId w:val="4"/>
  </w:num>
  <w:num w:numId="5" w16cid:durableId="491995144">
    <w:abstractNumId w:val="7"/>
  </w:num>
  <w:num w:numId="6" w16cid:durableId="838540320">
    <w:abstractNumId w:val="5"/>
  </w:num>
  <w:num w:numId="7" w16cid:durableId="249236896">
    <w:abstractNumId w:val="0"/>
  </w:num>
  <w:num w:numId="8" w16cid:durableId="967322083">
    <w:abstractNumId w:val="2"/>
  </w:num>
  <w:num w:numId="9" w16cid:durableId="902641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E2"/>
    <w:rsid w:val="0006521E"/>
    <w:rsid w:val="00161DE2"/>
    <w:rsid w:val="00697045"/>
    <w:rsid w:val="006C588A"/>
    <w:rsid w:val="009F4841"/>
    <w:rsid w:val="00F277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BDEB"/>
  <w15:chartTrackingRefBased/>
  <w15:docId w15:val="{697ED649-D9B4-4BF5-B100-0689D7BC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1DE2"/>
  </w:style>
  <w:style w:type="paragraph" w:styleId="Kop1">
    <w:name w:val="heading 1"/>
    <w:basedOn w:val="Standaard"/>
    <w:next w:val="Standaard"/>
    <w:link w:val="Kop1Char"/>
    <w:uiPriority w:val="9"/>
    <w:qFormat/>
    <w:rsid w:val="00161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61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1DE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1D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1D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1D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1D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1D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1D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1DE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61DE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1DE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1D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1D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1D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1D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1D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1DE2"/>
    <w:rPr>
      <w:rFonts w:eastAsiaTheme="majorEastAsia" w:cstheme="majorBidi"/>
      <w:color w:val="272727" w:themeColor="text1" w:themeTint="D8"/>
    </w:rPr>
  </w:style>
  <w:style w:type="paragraph" w:styleId="Titel">
    <w:name w:val="Title"/>
    <w:basedOn w:val="Standaard"/>
    <w:next w:val="Standaard"/>
    <w:link w:val="TitelChar"/>
    <w:uiPriority w:val="10"/>
    <w:qFormat/>
    <w:rsid w:val="00161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1D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1D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1D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1D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1DE2"/>
    <w:rPr>
      <w:i/>
      <w:iCs/>
      <w:color w:val="404040" w:themeColor="text1" w:themeTint="BF"/>
    </w:rPr>
  </w:style>
  <w:style w:type="paragraph" w:styleId="Lijstalinea">
    <w:name w:val="List Paragraph"/>
    <w:basedOn w:val="Standaard"/>
    <w:uiPriority w:val="34"/>
    <w:qFormat/>
    <w:rsid w:val="00161DE2"/>
    <w:pPr>
      <w:ind w:left="720"/>
      <w:contextualSpacing/>
    </w:pPr>
  </w:style>
  <w:style w:type="character" w:styleId="Intensievebenadrukking">
    <w:name w:val="Intense Emphasis"/>
    <w:basedOn w:val="Standaardalinea-lettertype"/>
    <w:uiPriority w:val="21"/>
    <w:qFormat/>
    <w:rsid w:val="00161DE2"/>
    <w:rPr>
      <w:i/>
      <w:iCs/>
      <w:color w:val="0F4761" w:themeColor="accent1" w:themeShade="BF"/>
    </w:rPr>
  </w:style>
  <w:style w:type="paragraph" w:styleId="Duidelijkcitaat">
    <w:name w:val="Intense Quote"/>
    <w:basedOn w:val="Standaard"/>
    <w:next w:val="Standaard"/>
    <w:link w:val="DuidelijkcitaatChar"/>
    <w:uiPriority w:val="30"/>
    <w:qFormat/>
    <w:rsid w:val="00161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1DE2"/>
    <w:rPr>
      <w:i/>
      <w:iCs/>
      <w:color w:val="0F4761" w:themeColor="accent1" w:themeShade="BF"/>
    </w:rPr>
  </w:style>
  <w:style w:type="character" w:styleId="Intensieveverwijzing">
    <w:name w:val="Intense Reference"/>
    <w:basedOn w:val="Standaardalinea-lettertype"/>
    <w:uiPriority w:val="32"/>
    <w:qFormat/>
    <w:rsid w:val="00161DE2"/>
    <w:rPr>
      <w:b/>
      <w:bCs/>
      <w:smallCaps/>
      <w:color w:val="0F4761" w:themeColor="accent1" w:themeShade="BF"/>
      <w:spacing w:val="5"/>
    </w:rPr>
  </w:style>
  <w:style w:type="character" w:styleId="Hyperlink">
    <w:name w:val="Hyperlink"/>
    <w:basedOn w:val="Standaardalinea-lettertype"/>
    <w:uiPriority w:val="99"/>
    <w:unhideWhenUsed/>
    <w:rsid w:val="00161DE2"/>
    <w:rPr>
      <w:color w:val="467886" w:themeColor="hyperlink"/>
      <w:u w:val="single"/>
    </w:rPr>
  </w:style>
  <w:style w:type="paragraph" w:styleId="Normaalweb">
    <w:name w:val="Normal (Web)"/>
    <w:basedOn w:val="Standaard"/>
    <w:uiPriority w:val="99"/>
    <w:unhideWhenUsed/>
    <w:rsid w:val="00161DE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table" w:styleId="Tabelraster">
    <w:name w:val="Table Grid"/>
    <w:basedOn w:val="Standaardtabel"/>
    <w:uiPriority w:val="39"/>
    <w:rsid w:val="0016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
    <w:name w:val="List Bullet"/>
    <w:basedOn w:val="Standaard"/>
    <w:uiPriority w:val="99"/>
    <w:unhideWhenUsed/>
    <w:rsid w:val="00161DE2"/>
    <w:pPr>
      <w:numPr>
        <w:numId w:val="7"/>
      </w:numPr>
      <w:tabs>
        <w:tab w:val="clear" w:pos="360"/>
      </w:tabs>
      <w:spacing w:after="200" w:line="276" w:lineRule="auto"/>
      <w:ind w:left="0" w:firstLine="0"/>
      <w:contextualSpacing/>
    </w:pPr>
    <w:rPr>
      <w:rFonts w:eastAsiaTheme="minorEastAsia"/>
      <w:kern w:val="0"/>
      <w:sz w:val="22"/>
      <w:szCs w:val="22"/>
      <w:lang w:val="en-US"/>
      <w14:ligatures w14:val="none"/>
    </w:rPr>
  </w:style>
  <w:style w:type="paragraph" w:styleId="Kopvaninhoudsopgave">
    <w:name w:val="TOC Heading"/>
    <w:basedOn w:val="Kop1"/>
    <w:next w:val="Standaard"/>
    <w:uiPriority w:val="39"/>
    <w:unhideWhenUsed/>
    <w:qFormat/>
    <w:rsid w:val="00161DE2"/>
    <w:pPr>
      <w:spacing w:before="480" w:after="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161DE2"/>
    <w:pPr>
      <w:spacing w:before="120" w:after="120" w:line="240" w:lineRule="auto"/>
    </w:pPr>
    <w:rPr>
      <w:b/>
      <w:bCs/>
      <w:caps/>
      <w:sz w:val="20"/>
      <w:szCs w:val="20"/>
    </w:rPr>
  </w:style>
  <w:style w:type="paragraph" w:styleId="Inhopg2">
    <w:name w:val="toc 2"/>
    <w:basedOn w:val="Standaard"/>
    <w:next w:val="Standaard"/>
    <w:autoRedefine/>
    <w:uiPriority w:val="39"/>
    <w:unhideWhenUsed/>
    <w:rsid w:val="00161DE2"/>
    <w:pPr>
      <w:spacing w:after="0" w:line="240" w:lineRule="auto"/>
      <w:ind w:left="240"/>
    </w:pPr>
    <w:rPr>
      <w:smallCaps/>
      <w:sz w:val="20"/>
      <w:szCs w:val="20"/>
    </w:rPr>
  </w:style>
  <w:style w:type="character" w:customStyle="1" w:styleId="apple-converted-space">
    <w:name w:val="apple-converted-space"/>
    <w:basedOn w:val="Standaardalinea-lettertype"/>
    <w:rsid w:val="00161DE2"/>
  </w:style>
  <w:style w:type="character" w:styleId="Nadruk">
    <w:name w:val="Emphasis"/>
    <w:basedOn w:val="Standaardalinea-lettertype"/>
    <w:uiPriority w:val="20"/>
    <w:qFormat/>
    <w:rsid w:val="00161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fm.nl/nl-nl/sector/actueel/2022/april/boete-robeco" TargetMode="External"/><Relationship Id="rId18" Type="http://schemas.openxmlformats.org/officeDocument/2006/relationships/hyperlink" Target="https://www.bnpparibas-am.com/en/remuneration-policy/" TargetMode="External"/><Relationship Id="rId26" Type="http://schemas.openxmlformats.org/officeDocument/2006/relationships/hyperlink" Target="https://www.candriam.com/siteassets/medias/publications/sri-publications---candriam-policies/engagement-report-2024.pdf" TargetMode="External"/><Relationship Id="rId39" Type="http://schemas.openxmlformats.org/officeDocument/2006/relationships/hyperlink" Target="https://www.robeco.com/en-int/about-us/governance/" TargetMode="External"/><Relationship Id="rId21" Type="http://schemas.openxmlformats.org/officeDocument/2006/relationships/hyperlink" Target="https://www.candriam.com/en/professional/sfdr/" TargetMode="External"/><Relationship Id="rId34" Type="http://schemas.openxmlformats.org/officeDocument/2006/relationships/hyperlink" Target="https://www.robeco.com/en-int/sustainable-investing/sfdr/" TargetMode="External"/><Relationship Id="rId42" Type="http://schemas.openxmlformats.org/officeDocument/2006/relationships/hyperlink" Target="https://www.ubs.com/global/en/assetmanagement/capabilities/sustainable-investing/stewardship-engagement.html" TargetMode="External"/><Relationship Id="rId47" Type="http://schemas.openxmlformats.org/officeDocument/2006/relationships/hyperlink" Target="https://www.amundi.com/" TargetMode="External"/><Relationship Id="rId50" Type="http://schemas.openxmlformats.org/officeDocument/2006/relationships/hyperlink" Target="https://www.triodos-im.com/" TargetMode="External"/><Relationship Id="rId55" Type="http://schemas.openxmlformats.org/officeDocument/2006/relationships/hyperlink" Target="https://www.vanguardinvestor.co.uk/" TargetMode="External"/><Relationship Id="rId7" Type="http://schemas.openxmlformats.org/officeDocument/2006/relationships/hyperlink" Target="https://www.allianz.com/content/dam/onemarketing/azcom/Allianz_com/investor-relations/en/results-reports/annual-report/ar-2024/en-allianz-group-annual-report-2024.pdf" TargetMode="External"/><Relationship Id="rId2" Type="http://schemas.openxmlformats.org/officeDocument/2006/relationships/styles" Target="styles.xml"/><Relationship Id="rId16" Type="http://schemas.openxmlformats.org/officeDocument/2006/relationships/hyperlink" Target="https://docfinder.bnpparibas-am.com/api/files/0da3f989-0e88-4a27-b6a2-9ad58fd59a2f" TargetMode="External"/><Relationship Id="rId29" Type="http://schemas.openxmlformats.org/officeDocument/2006/relationships/hyperlink" Target="https://www.candriam.com/siteassets/medias/insights/sfdr-publications/disclosurespursuanttoart10ofregulation---art-9-mandate_en.pdf" TargetMode="External"/><Relationship Id="rId11" Type="http://schemas.openxmlformats.org/officeDocument/2006/relationships/hyperlink" Target="https://corporate.vanguard.com/content/dam/corp/invest/pdf/vanguard_responsible_investment_policy.pdf" TargetMode="External"/><Relationship Id="rId24" Type="http://schemas.openxmlformats.org/officeDocument/2006/relationships/hyperlink" Target="https://csr.candriam.com/pdf/Candriam_2024_CSR%20Report_SECTION-GOVERNANCE.pdf" TargetMode="External"/><Relationship Id="rId32" Type="http://schemas.openxmlformats.org/officeDocument/2006/relationships/hyperlink" Target="https://www.theguardian.com/environment/2025/may/18/revealed-european-green-investments-hold-billions-in-fossil-fuel-majors" TargetMode="External"/><Relationship Id="rId37" Type="http://schemas.openxmlformats.org/officeDocument/2006/relationships/hyperlink" Target="https://www.robeco.com/files/docm/docu-202404-robeco-stewardship-report-2023.pdf" TargetMode="External"/><Relationship Id="rId40" Type="http://schemas.openxmlformats.org/officeDocument/2006/relationships/hyperlink" Target="https://www.robeco.com/files/docm/docu-robeco-integrated-annual-report-2023.pdf" TargetMode="External"/><Relationship Id="rId45" Type="http://schemas.openxmlformats.org/officeDocument/2006/relationships/hyperlink" Target="https://www.ubs.com/global/en/sustainability-impact/sustainability-reporting.html" TargetMode="External"/><Relationship Id="rId53" Type="http://schemas.openxmlformats.org/officeDocument/2006/relationships/hyperlink" Target="https://am.jpmorgan.com" TargetMode="External"/><Relationship Id="rId58" Type="http://schemas.openxmlformats.org/officeDocument/2006/relationships/customXml" Target="../customXml/item1.xml"/><Relationship Id="rId5" Type="http://schemas.openxmlformats.org/officeDocument/2006/relationships/image" Target="media/image1.png"/><Relationship Id="rId19" Type="http://schemas.openxmlformats.org/officeDocument/2006/relationships/hyperlink" Target="https://integrated-report.bnpparibas/2023/article/1/" TargetMode="External"/><Relationship Id="rId4" Type="http://schemas.openxmlformats.org/officeDocument/2006/relationships/webSettings" Target="webSettings.xml"/><Relationship Id="rId9" Type="http://schemas.openxmlformats.org/officeDocument/2006/relationships/hyperlink" Target="https://corporate.vanguard.com/content/corporatesite/us/en/corp/how-we-invest/responsible-investment.html" TargetMode="External"/><Relationship Id="rId14" Type="http://schemas.openxmlformats.org/officeDocument/2006/relationships/hyperlink" Target="https://www.afm.nl/nl-nl/sector/actueel/2022/juli/lod-riam" TargetMode="External"/><Relationship Id="rId22" Type="http://schemas.openxmlformats.org/officeDocument/2006/relationships/hyperlink" Target="https://www.candriam.com/en-nl/professional/investment-solutions/sustainability-documents/" TargetMode="External"/><Relationship Id="rId27" Type="http://schemas.openxmlformats.org/officeDocument/2006/relationships/hyperlink" Target="https://www.candriam.com/siteassets/medias/publications/brochure/corporate-brochures-and-reports/exclusion-policy/candriam-exclusion-policy-en.pdf" TargetMode="External"/><Relationship Id="rId30" Type="http://schemas.openxmlformats.org/officeDocument/2006/relationships/hyperlink" Target="https://www.candriam.com/siteassets/medias/insights/sfdr-publications/pais_qualitative_reporting_gb.pdf" TargetMode="External"/><Relationship Id="rId35" Type="http://schemas.openxmlformats.org/officeDocument/2006/relationships/hyperlink" Target="https://www.robeco.com/files/docm/docu-riam-robeco-remuneration-policy.pdf" TargetMode="External"/><Relationship Id="rId43" Type="http://schemas.openxmlformats.org/officeDocument/2006/relationships/hyperlink" Target="https://www.ubs.com/global/en/investor-relations/financial-information/annual-reporting/ar-archive.html" TargetMode="External"/><Relationship Id="rId48" Type="http://schemas.openxmlformats.org/officeDocument/2006/relationships/hyperlink" Target="https://www.asnimpactinvestors.com/" TargetMode="External"/><Relationship Id="rId56" Type="http://schemas.openxmlformats.org/officeDocument/2006/relationships/fontTable" Target="fontTable.xml"/><Relationship Id="rId8" Type="http://schemas.openxmlformats.org/officeDocument/2006/relationships/hyperlink" Target="https://www.allianz.com/en/sustainability/sustainability-hub/sustainability-at-allianz.html" TargetMode="External"/><Relationship Id="rId51" Type="http://schemas.openxmlformats.org/officeDocument/2006/relationships/hyperlink" Target="https://www.dws.com/"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docfinder.bnpparibas-am.com/api/files/d8e2b165-c94f-413e-be2e-154b83bd4e9b" TargetMode="External"/><Relationship Id="rId25" Type="http://schemas.openxmlformats.org/officeDocument/2006/relationships/hyperlink" Target="https://www.candriam.com/siteassets/medias/publications/brochure/corporate-brochures-and-reports/proxy-voting/proxy_voting_policy_2024.pdf" TargetMode="External"/><Relationship Id="rId33" Type="http://schemas.openxmlformats.org/officeDocument/2006/relationships/hyperlink" Target="https://www.reuters.com/business/finance/bnp-paribas-fund-arm-exclude-new-oil-gas-bonds-2024-11-27/" TargetMode="External"/><Relationship Id="rId38" Type="http://schemas.openxmlformats.org/officeDocument/2006/relationships/hyperlink" Target="https://www.robeco.com/docm/docu-exclusion-policy.pdf" TargetMode="External"/><Relationship Id="rId46" Type="http://schemas.openxmlformats.org/officeDocument/2006/relationships/hyperlink" Target="https://violationtrackerglobal.goodjobsfirst.org/violation-tracker-global/austria-bnp-paribas-asset-management-hol" TargetMode="External"/><Relationship Id="rId59" Type="http://schemas.openxmlformats.org/officeDocument/2006/relationships/customXml" Target="../customXml/item2.xml"/><Relationship Id="rId20" Type="http://schemas.openxmlformats.org/officeDocument/2006/relationships/hyperlink" Target="https://derivate.bnpparibas.com/siteassets/basisprospekte/registrierungsformulare-bnpp-s.a/universal-registration-document-annual-financial-report-2023.pdf" TargetMode="External"/><Relationship Id="rId41" Type="http://schemas.openxmlformats.org/officeDocument/2006/relationships/hyperlink" Target="https://www.robeco.com/en-int/media/press-release/robeco-publishes-its-first-integrated-annual-report/" TargetMode="External"/><Relationship Id="rId54" Type="http://schemas.openxmlformats.org/officeDocument/2006/relationships/hyperlink" Target="https://www.morningstar.com/"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docfinder.bnpparibas-am.com/api/files/4b10d1ad-901d-4bbe-8a7c-007ad48c450e" TargetMode="External"/><Relationship Id="rId23" Type="http://schemas.openxmlformats.org/officeDocument/2006/relationships/hyperlink" Target="https://www.candriam.com/siteassets/medias/insights/sfdr-publications/2024_tnfd_report_final.pdf" TargetMode="External"/><Relationship Id="rId28" Type="http://schemas.openxmlformats.org/officeDocument/2006/relationships/hyperlink" Target="https://www.candriam.com/siteassets/medias/publications/brochure/commercial-brochures/sri-brochure/voting-and-engagement-report-2024.pdf" TargetMode="External"/><Relationship Id="rId36" Type="http://schemas.openxmlformats.org/officeDocument/2006/relationships/hyperlink" Target="https://www.robeco.com/docm/docu-social-environmental-policy.pdf" TargetMode="External"/><Relationship Id="rId49" Type="http://schemas.openxmlformats.org/officeDocument/2006/relationships/hyperlink" Target="https://www.asnimpactinvestors.com/" TargetMode="External"/><Relationship Id="rId57" Type="http://schemas.openxmlformats.org/officeDocument/2006/relationships/theme" Target="theme/theme1.xml"/><Relationship Id="rId10" Type="http://schemas.openxmlformats.org/officeDocument/2006/relationships/hyperlink" Target="https://corporate.vanguard.com/content/corporatesite/us/en/corp/who-we-are/we-care-about/sustainability.html" TargetMode="External"/><Relationship Id="rId31" Type="http://schemas.openxmlformats.org/officeDocument/2006/relationships/hyperlink" Target="https://www.candriam.com/siteassets/legal-and-disclaimer/external_disclosure_remuneration_policy.pdf" TargetMode="External"/><Relationship Id="rId44" Type="http://schemas.openxmlformats.org/officeDocument/2006/relationships/hyperlink" Target="https://www.ubs.com/global/en/sustainability-impact/sustainability-reporting.html" TargetMode="External"/><Relationship Id="rId52" Type="http://schemas.openxmlformats.org/officeDocument/2006/relationships/hyperlink" Target="https://www.fidelityinternational.com/" TargetMode="External"/><Relationship Id="rId60"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FBA85DADBB1468A4A6E28D40D2575" ma:contentTypeVersion="3" ma:contentTypeDescription="Een nieuw document maken." ma:contentTypeScope="" ma:versionID="342973fef3b45e2f510be1f1fafb2a64">
  <xsd:schema xmlns:xsd="http://www.w3.org/2001/XMLSchema" xmlns:xs="http://www.w3.org/2001/XMLSchema" xmlns:p="http://schemas.microsoft.com/office/2006/metadata/properties" xmlns:ns2="2db93175-5cc0-421e-88a1-d57e52968666" targetNamespace="http://schemas.microsoft.com/office/2006/metadata/properties" ma:root="true" ma:fieldsID="d5fd509a379f6426883f605bcf27cb30" ns2:_="">
    <xsd:import namespace="2db93175-5cc0-421e-88a1-d57e529686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93175-5cc0-421e-88a1-d57e529686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B0AF4C-751D-4DFF-8804-3139D3C50718}"/>
</file>

<file path=customXml/itemProps2.xml><?xml version="1.0" encoding="utf-8"?>
<ds:datastoreItem xmlns:ds="http://schemas.openxmlformats.org/officeDocument/2006/customXml" ds:itemID="{5168B2B4-712D-4F84-879D-8D97A0DD5D1E}"/>
</file>

<file path=customXml/itemProps3.xml><?xml version="1.0" encoding="utf-8"?>
<ds:datastoreItem xmlns:ds="http://schemas.openxmlformats.org/officeDocument/2006/customXml" ds:itemID="{28AF1AF3-8419-4A02-A701-6AA3595D5DF5}"/>
</file>

<file path=docProps/app.xml><?xml version="1.0" encoding="utf-8"?>
<Properties xmlns="http://schemas.openxmlformats.org/officeDocument/2006/extended-properties" xmlns:vt="http://schemas.openxmlformats.org/officeDocument/2006/docPropsVTypes">
  <Template>Normal</Template>
  <TotalTime>0</TotalTime>
  <Pages>56</Pages>
  <Words>16854</Words>
  <Characters>92700</Characters>
  <Application>Microsoft Office Word</Application>
  <DocSecurity>0</DocSecurity>
  <Lines>772</Lines>
  <Paragraphs>218</Paragraphs>
  <ScaleCrop>false</ScaleCrop>
  <Company/>
  <LinksUpToDate>false</LinksUpToDate>
  <CharactersWithSpaces>109336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Dussel, Brent</dc:creator>
  <cp:keywords/>
  <dc:description/>
  <cp:lastModifiedBy>Dussel, Brent</cp:lastModifiedBy>
  <cp:revision>1</cp:revision>
  <dcterms:created xsi:type="dcterms:W3CDTF">2025-12-17T10:39:00Z</dcterms:created>
  <dcterms:modified xsi:type="dcterms:W3CDTF">2025-12-17T10:44:00Z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0x010100473FBA85DADBB1468A4A6E28D40D2575</vt:lpwstr>
  </property>
</Properties>
</file>